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C279F4" w14:textId="77777777" w:rsidR="00AB3ABB" w:rsidRDefault="00AB3ABB">
      <w:pPr>
        <w:pStyle w:val="BodyText"/>
        <w:spacing w:before="5"/>
        <w:ind w:left="0"/>
        <w:jc w:val="left"/>
        <w:rPr>
          <w:rFonts w:ascii="Times New Roman"/>
          <w:sz w:val="29"/>
        </w:rPr>
      </w:pPr>
    </w:p>
    <w:p w14:paraId="375ECC9F" w14:textId="77777777" w:rsidR="00AB3ABB" w:rsidRDefault="00AB3ABB">
      <w:pPr>
        <w:pStyle w:val="BodyText"/>
        <w:spacing w:before="5"/>
        <w:ind w:left="0"/>
        <w:jc w:val="left"/>
        <w:rPr>
          <w:b/>
          <w:sz w:val="29"/>
        </w:rPr>
      </w:pPr>
    </w:p>
    <w:p w14:paraId="4ADCC3FB" w14:textId="77777777" w:rsidR="00AB3ABB" w:rsidRDefault="0017742F">
      <w:pPr>
        <w:spacing w:before="94"/>
        <w:ind w:left="1907" w:right="1907"/>
        <w:jc w:val="center"/>
        <w:rPr>
          <w:b/>
        </w:rPr>
      </w:pPr>
      <w:r>
        <w:rPr>
          <w:b/>
        </w:rPr>
        <w:t>PUBLICATION OF SERVICE USER EQUALITY DATA</w:t>
      </w:r>
    </w:p>
    <w:p w14:paraId="12575452" w14:textId="77777777" w:rsidR="00AB3ABB" w:rsidRDefault="00AB3ABB">
      <w:pPr>
        <w:pStyle w:val="BodyText"/>
        <w:ind w:left="0"/>
        <w:jc w:val="left"/>
        <w:rPr>
          <w:b/>
          <w:sz w:val="24"/>
        </w:rPr>
      </w:pPr>
    </w:p>
    <w:p w14:paraId="3B4A82FD" w14:textId="77777777" w:rsidR="00AB3ABB" w:rsidRDefault="00AB3ABB">
      <w:pPr>
        <w:pStyle w:val="BodyText"/>
        <w:spacing w:before="10"/>
        <w:ind w:left="0"/>
        <w:jc w:val="left"/>
        <w:rPr>
          <w:b/>
          <w:sz w:val="28"/>
        </w:rPr>
      </w:pPr>
    </w:p>
    <w:p w14:paraId="348FFC67" w14:textId="0773B14A" w:rsidR="00AB3ABB" w:rsidRDefault="0017742F">
      <w:pPr>
        <w:spacing w:before="1"/>
        <w:ind w:left="1907" w:right="1843"/>
        <w:jc w:val="center"/>
        <w:rPr>
          <w:b/>
        </w:rPr>
      </w:pPr>
      <w:r>
        <w:rPr>
          <w:b/>
        </w:rPr>
        <w:t>1</w:t>
      </w:r>
      <w:proofErr w:type="spellStart"/>
      <w:r>
        <w:rPr>
          <w:b/>
          <w:position w:val="8"/>
          <w:sz w:val="14"/>
        </w:rPr>
        <w:t>st</w:t>
      </w:r>
      <w:proofErr w:type="spellEnd"/>
      <w:r>
        <w:rPr>
          <w:b/>
          <w:position w:val="8"/>
          <w:sz w:val="14"/>
        </w:rPr>
        <w:t xml:space="preserve"> </w:t>
      </w:r>
      <w:r>
        <w:rPr>
          <w:b/>
        </w:rPr>
        <w:t>JANUARY 202</w:t>
      </w:r>
      <w:r w:rsidR="00C71FB1">
        <w:rPr>
          <w:b/>
        </w:rPr>
        <w:t>2</w:t>
      </w:r>
      <w:r>
        <w:rPr>
          <w:b/>
        </w:rPr>
        <w:t>– 31st DECEMBER 202</w:t>
      </w:r>
      <w:r w:rsidR="00C71FB1">
        <w:rPr>
          <w:b/>
        </w:rPr>
        <w:t>2</w:t>
      </w:r>
    </w:p>
    <w:p w14:paraId="12D2C2C1" w14:textId="77777777" w:rsidR="00AB3ABB" w:rsidRDefault="00AB3ABB">
      <w:pPr>
        <w:pStyle w:val="BodyText"/>
        <w:ind w:left="0"/>
        <w:jc w:val="left"/>
        <w:rPr>
          <w:b/>
          <w:sz w:val="24"/>
        </w:rPr>
      </w:pPr>
    </w:p>
    <w:p w14:paraId="3A861698" w14:textId="77777777" w:rsidR="00AB3ABB" w:rsidRDefault="00AB3ABB">
      <w:pPr>
        <w:pStyle w:val="BodyText"/>
        <w:ind w:left="0"/>
        <w:jc w:val="left"/>
        <w:rPr>
          <w:b/>
          <w:sz w:val="24"/>
        </w:rPr>
      </w:pPr>
    </w:p>
    <w:p w14:paraId="451D8CB3" w14:textId="77777777" w:rsidR="00AB3ABB" w:rsidRDefault="00AB3ABB">
      <w:pPr>
        <w:pStyle w:val="BodyText"/>
        <w:ind w:left="0"/>
        <w:jc w:val="left"/>
        <w:rPr>
          <w:b/>
          <w:sz w:val="24"/>
        </w:rPr>
      </w:pPr>
    </w:p>
    <w:p w14:paraId="19AB93CF" w14:textId="77777777" w:rsidR="00AB3ABB" w:rsidRDefault="00AB3ABB">
      <w:pPr>
        <w:pStyle w:val="BodyText"/>
        <w:ind w:left="0"/>
        <w:jc w:val="left"/>
        <w:rPr>
          <w:b/>
          <w:sz w:val="24"/>
        </w:rPr>
      </w:pPr>
    </w:p>
    <w:p w14:paraId="66522B70" w14:textId="77777777" w:rsidR="00AB3ABB" w:rsidRDefault="00AB3ABB">
      <w:pPr>
        <w:pStyle w:val="BodyText"/>
        <w:spacing w:before="7"/>
        <w:ind w:left="0"/>
        <w:jc w:val="left"/>
        <w:rPr>
          <w:b/>
          <w:sz w:val="32"/>
        </w:rPr>
      </w:pPr>
    </w:p>
    <w:p w14:paraId="79594D36" w14:textId="01DA6184" w:rsidR="00AB3ABB" w:rsidRDefault="0017742F">
      <w:pPr>
        <w:spacing w:before="1"/>
        <w:ind w:left="1907" w:right="1903"/>
        <w:jc w:val="center"/>
        <w:rPr>
          <w:b/>
        </w:rPr>
      </w:pPr>
      <w:r>
        <w:rPr>
          <w:b/>
        </w:rPr>
        <w:t xml:space="preserve">Published </w:t>
      </w:r>
      <w:r w:rsidR="00C71FB1">
        <w:rPr>
          <w:b/>
        </w:rPr>
        <w:t>2023</w:t>
      </w:r>
    </w:p>
    <w:p w14:paraId="71F4158A" w14:textId="77777777" w:rsidR="00AB3ABB" w:rsidRDefault="00AB3ABB">
      <w:pPr>
        <w:jc w:val="center"/>
        <w:sectPr w:rsidR="00AB3ABB">
          <w:headerReference w:type="default" r:id="rId7"/>
          <w:footerReference w:type="default" r:id="rId8"/>
          <w:pgSz w:w="11910" w:h="16840"/>
          <w:pgMar w:top="1720" w:right="1320" w:bottom="1200" w:left="1320" w:header="708" w:footer="920" w:gutter="0"/>
          <w:cols w:space="720"/>
        </w:sectPr>
      </w:pPr>
    </w:p>
    <w:p w14:paraId="3BEB31F7" w14:textId="77777777" w:rsidR="00AB3ABB" w:rsidRDefault="0017742F">
      <w:pPr>
        <w:spacing w:before="3" w:line="256" w:lineRule="auto"/>
        <w:ind w:left="120" w:right="34"/>
      </w:pPr>
      <w:r>
        <w:rPr>
          <w:b/>
        </w:rPr>
        <w:t>If you need this information summarised in another language or format such as Braille, talking tape or DVD please call the number below</w:t>
      </w:r>
      <w:r>
        <w:t>.</w:t>
      </w:r>
    </w:p>
    <w:p w14:paraId="48E89AAF" w14:textId="77777777" w:rsidR="00AB3ABB" w:rsidRDefault="0017742F">
      <w:pPr>
        <w:pStyle w:val="BodyText"/>
        <w:spacing w:before="162"/>
        <w:jc w:val="left"/>
      </w:pPr>
      <w:r>
        <w:t>Polish:</w:t>
      </w:r>
    </w:p>
    <w:p w14:paraId="1E831021" w14:textId="77777777" w:rsidR="00AB3ABB" w:rsidRDefault="0017742F">
      <w:pPr>
        <w:pStyle w:val="BodyText"/>
        <w:spacing w:before="184" w:line="254" w:lineRule="auto"/>
        <w:jc w:val="left"/>
      </w:pPr>
      <w:proofErr w:type="spellStart"/>
      <w:r>
        <w:t>Jeżeli</w:t>
      </w:r>
      <w:proofErr w:type="spellEnd"/>
      <w:r>
        <w:t xml:space="preserve"> </w:t>
      </w:r>
      <w:proofErr w:type="spellStart"/>
      <w:r>
        <w:t>potrzebujesz</w:t>
      </w:r>
      <w:proofErr w:type="spellEnd"/>
      <w:r>
        <w:t xml:space="preserve"> </w:t>
      </w:r>
      <w:proofErr w:type="spellStart"/>
      <w:r>
        <w:t>streszczenia</w:t>
      </w:r>
      <w:proofErr w:type="spellEnd"/>
      <w:r>
        <w:t xml:space="preserve"> </w:t>
      </w:r>
      <w:proofErr w:type="spellStart"/>
      <w:r>
        <w:t>tych</w:t>
      </w:r>
      <w:proofErr w:type="spellEnd"/>
      <w:r>
        <w:t xml:space="preserve"> </w:t>
      </w:r>
      <w:proofErr w:type="spellStart"/>
      <w:r>
        <w:t>informacji</w:t>
      </w:r>
      <w:proofErr w:type="spellEnd"/>
      <w:r>
        <w:t xml:space="preserve"> w </w:t>
      </w:r>
      <w:proofErr w:type="spellStart"/>
      <w:r>
        <w:t>innym</w:t>
      </w:r>
      <w:proofErr w:type="spellEnd"/>
      <w:r>
        <w:t xml:space="preserve"> </w:t>
      </w:r>
      <w:proofErr w:type="spellStart"/>
      <w:r>
        <w:t>języku</w:t>
      </w:r>
      <w:proofErr w:type="spellEnd"/>
      <w:r>
        <w:t xml:space="preserve"> </w:t>
      </w:r>
      <w:proofErr w:type="spellStart"/>
      <w:r>
        <w:t>lub</w:t>
      </w:r>
      <w:proofErr w:type="spellEnd"/>
      <w:r>
        <w:t xml:space="preserve"> </w:t>
      </w:r>
      <w:proofErr w:type="spellStart"/>
      <w:r>
        <w:t>formacie</w:t>
      </w:r>
      <w:proofErr w:type="spellEnd"/>
      <w:r>
        <w:t xml:space="preserve">, np. w </w:t>
      </w:r>
      <w:proofErr w:type="spellStart"/>
      <w:r>
        <w:t>Braille’u</w:t>
      </w:r>
      <w:proofErr w:type="spellEnd"/>
      <w:r>
        <w:t xml:space="preserve"> </w:t>
      </w:r>
      <w:proofErr w:type="spellStart"/>
      <w:r>
        <w:t>lub</w:t>
      </w:r>
      <w:proofErr w:type="spellEnd"/>
      <w:r>
        <w:t xml:space="preserve"> w </w:t>
      </w:r>
      <w:proofErr w:type="spellStart"/>
      <w:r>
        <w:t>formie</w:t>
      </w:r>
      <w:proofErr w:type="spellEnd"/>
      <w:r>
        <w:t xml:space="preserve"> </w:t>
      </w:r>
      <w:proofErr w:type="spellStart"/>
      <w:r>
        <w:t>nagrania</w:t>
      </w:r>
      <w:proofErr w:type="spellEnd"/>
      <w:r>
        <w:t xml:space="preserve"> </w:t>
      </w:r>
      <w:proofErr w:type="spellStart"/>
      <w:r>
        <w:t>dźwiękowego</w:t>
      </w:r>
      <w:proofErr w:type="spellEnd"/>
      <w:r>
        <w:t xml:space="preserve">, </w:t>
      </w:r>
      <w:proofErr w:type="spellStart"/>
      <w:r>
        <w:t>zadzwoń</w:t>
      </w:r>
      <w:proofErr w:type="spellEnd"/>
      <w:r>
        <w:t xml:space="preserve"> </w:t>
      </w:r>
      <w:proofErr w:type="spellStart"/>
      <w:r>
        <w:t>na</w:t>
      </w:r>
      <w:proofErr w:type="spellEnd"/>
      <w:r>
        <w:t xml:space="preserve"> </w:t>
      </w:r>
      <w:proofErr w:type="spellStart"/>
      <w:r>
        <w:t>poniższy</w:t>
      </w:r>
      <w:proofErr w:type="spellEnd"/>
      <w:r>
        <w:t xml:space="preserve"> </w:t>
      </w:r>
      <w:proofErr w:type="spellStart"/>
      <w:r>
        <w:t>numer</w:t>
      </w:r>
      <w:proofErr w:type="spellEnd"/>
      <w:r>
        <w:t>.</w:t>
      </w:r>
    </w:p>
    <w:p w14:paraId="250E92B0" w14:textId="77777777" w:rsidR="00AB3ABB" w:rsidRDefault="0017742F">
      <w:pPr>
        <w:pStyle w:val="BodyText"/>
        <w:spacing w:before="166"/>
        <w:jc w:val="left"/>
      </w:pPr>
      <w:r>
        <w:t>Arabic:</w:t>
      </w:r>
    </w:p>
    <w:p w14:paraId="3B1E3577" w14:textId="77777777" w:rsidR="00AB3ABB" w:rsidRDefault="0017742F">
      <w:pPr>
        <w:pStyle w:val="BodyText"/>
        <w:ind w:left="0"/>
        <w:jc w:val="left"/>
        <w:rPr>
          <w:sz w:val="15"/>
        </w:rPr>
      </w:pPr>
      <w:r>
        <w:rPr>
          <w:noProof/>
        </w:rPr>
        <w:drawing>
          <wp:anchor distT="0" distB="0" distL="0" distR="0" simplePos="0" relativeHeight="251659264" behindDoc="0" locked="0" layoutInCell="1" allowOverlap="1" wp14:anchorId="6D5A7E35" wp14:editId="43A8B12A">
            <wp:simplePos x="0" y="0"/>
            <wp:positionH relativeFrom="page">
              <wp:posOffset>950403</wp:posOffset>
            </wp:positionH>
            <wp:positionV relativeFrom="paragraph">
              <wp:posOffset>134713</wp:posOffset>
            </wp:positionV>
            <wp:extent cx="5598665" cy="354901"/>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 cstate="print"/>
                    <a:stretch>
                      <a:fillRect/>
                    </a:stretch>
                  </pic:blipFill>
                  <pic:spPr>
                    <a:xfrm>
                      <a:off x="0" y="0"/>
                      <a:ext cx="5598665" cy="354901"/>
                    </a:xfrm>
                    <a:prstGeom prst="rect">
                      <a:avLst/>
                    </a:prstGeom>
                  </pic:spPr>
                </pic:pic>
              </a:graphicData>
            </a:graphic>
          </wp:anchor>
        </w:drawing>
      </w:r>
    </w:p>
    <w:p w14:paraId="10F5F3AB" w14:textId="77777777" w:rsidR="00AB3ABB" w:rsidRDefault="00AB3ABB">
      <w:pPr>
        <w:pStyle w:val="BodyText"/>
        <w:spacing w:before="1"/>
        <w:ind w:left="0"/>
        <w:jc w:val="left"/>
        <w:rPr>
          <w:sz w:val="19"/>
        </w:rPr>
      </w:pPr>
    </w:p>
    <w:p w14:paraId="4691AE01" w14:textId="77777777" w:rsidR="00AB3ABB" w:rsidRDefault="0017742F">
      <w:pPr>
        <w:pStyle w:val="BodyText"/>
        <w:jc w:val="left"/>
      </w:pPr>
      <w:r>
        <w:t>Bengali:</w:t>
      </w:r>
    </w:p>
    <w:p w14:paraId="5DCD2FC2" w14:textId="77777777" w:rsidR="00AB3ABB" w:rsidRDefault="0017742F">
      <w:pPr>
        <w:pStyle w:val="BodyText"/>
        <w:spacing w:before="182" w:line="259" w:lineRule="auto"/>
        <w:jc w:val="left"/>
        <w:rPr>
          <w:rFonts w:ascii="Nirmala UI" w:eastAsia="Nirmala UI" w:hAnsi="Nirmala UI" w:cs="Nirmala UI"/>
        </w:rPr>
      </w:pPr>
      <w:proofErr w:type="spellStart"/>
      <w:proofErr w:type="gramStart"/>
      <w:r>
        <w:rPr>
          <w:rFonts w:ascii="Nirmala UI" w:eastAsia="Nirmala UI" w:hAnsi="Nirmala UI" w:cs="Nirmala UI"/>
          <w:spacing w:val="-1"/>
        </w:rPr>
        <w:t>যদ</w:t>
      </w:r>
      <w:r>
        <w:rPr>
          <w:rFonts w:ascii="Nirmala UI" w:eastAsia="Nirmala UI" w:hAnsi="Nirmala UI" w:cs="Nirmala UI"/>
        </w:rPr>
        <w:t>ি</w:t>
      </w:r>
      <w:proofErr w:type="spellEnd"/>
      <w:r>
        <w:rPr>
          <w:rFonts w:ascii="Nirmala UI" w:eastAsia="Nirmala UI" w:hAnsi="Nirmala UI" w:cs="Nirmala UI"/>
        </w:rPr>
        <w:t xml:space="preserve"> </w:t>
      </w:r>
      <w:r>
        <w:rPr>
          <w:rFonts w:ascii="Nirmala UI" w:eastAsia="Nirmala UI" w:hAnsi="Nirmala UI" w:cs="Nirmala UI"/>
          <w:spacing w:val="-26"/>
        </w:rPr>
        <w:t xml:space="preserve"> </w:t>
      </w:r>
      <w:proofErr w:type="spellStart"/>
      <w:r>
        <w:rPr>
          <w:rFonts w:ascii="Nirmala UI" w:eastAsia="Nirmala UI" w:hAnsi="Nirmala UI" w:cs="Nirmala UI"/>
          <w:w w:val="101"/>
        </w:rPr>
        <w:t>আপদি</w:t>
      </w:r>
      <w:proofErr w:type="spellEnd"/>
      <w:proofErr w:type="gramEnd"/>
      <w:r>
        <w:rPr>
          <w:rFonts w:ascii="Nirmala UI" w:eastAsia="Nirmala UI" w:hAnsi="Nirmala UI" w:cs="Nirmala UI"/>
          <w:spacing w:val="29"/>
        </w:rPr>
        <w:t xml:space="preserve"> </w:t>
      </w:r>
      <w:proofErr w:type="spellStart"/>
      <w:r>
        <w:rPr>
          <w:rFonts w:ascii="Nirmala UI" w:eastAsia="Nirmala UI" w:hAnsi="Nirmala UI" w:cs="Nirmala UI"/>
        </w:rPr>
        <w:t>অ</w:t>
      </w:r>
      <w:r>
        <w:rPr>
          <w:rFonts w:ascii="Nirmala UI" w:eastAsia="Nirmala UI" w:hAnsi="Nirmala UI" w:cs="Nirmala UI"/>
          <w:spacing w:val="-1"/>
          <w:w w:val="276"/>
        </w:rPr>
        <w:t>ি</w:t>
      </w:r>
      <w:r>
        <w:rPr>
          <w:rFonts w:ascii="Nirmala UI" w:eastAsia="Nirmala UI" w:hAnsi="Nirmala UI" w:cs="Nirmala UI"/>
          <w:w w:val="51"/>
        </w:rPr>
        <w:t>য</w:t>
      </w:r>
      <w:proofErr w:type="spellEnd"/>
      <w:r>
        <w:rPr>
          <w:rFonts w:ascii="Nirmala UI" w:eastAsia="Nirmala UI" w:hAnsi="Nirmala UI" w:cs="Nirmala UI"/>
        </w:rPr>
        <w:t xml:space="preserve"> </w:t>
      </w:r>
      <w:r>
        <w:rPr>
          <w:rFonts w:ascii="Nirmala UI" w:eastAsia="Nirmala UI" w:hAnsi="Nirmala UI" w:cs="Nirmala UI"/>
          <w:spacing w:val="-28"/>
        </w:rPr>
        <w:t xml:space="preserve"> </w:t>
      </w:r>
      <w:proofErr w:type="spellStart"/>
      <w:r>
        <w:rPr>
          <w:rFonts w:ascii="Nirmala UI" w:eastAsia="Nirmala UI" w:hAnsi="Nirmala UI" w:cs="Nirmala UI"/>
        </w:rPr>
        <w:t>এক</w:t>
      </w:r>
      <w:r>
        <w:rPr>
          <w:rFonts w:ascii="Nirmala UI" w:eastAsia="Nirmala UI" w:hAnsi="Nirmala UI" w:cs="Nirmala UI"/>
          <w:spacing w:val="-1"/>
        </w:rPr>
        <w:t>ট</w:t>
      </w:r>
      <w:r>
        <w:rPr>
          <w:rFonts w:ascii="Nirmala UI" w:eastAsia="Nirmala UI" w:hAnsi="Nirmala UI" w:cs="Nirmala UI"/>
        </w:rPr>
        <w:t>ি</w:t>
      </w:r>
      <w:proofErr w:type="spellEnd"/>
      <w:r>
        <w:rPr>
          <w:rFonts w:ascii="Nirmala UI" w:eastAsia="Nirmala UI" w:hAnsi="Nirmala UI" w:cs="Nirmala UI"/>
        </w:rPr>
        <w:t xml:space="preserve"> </w:t>
      </w:r>
      <w:r>
        <w:rPr>
          <w:rFonts w:ascii="Nirmala UI" w:eastAsia="Nirmala UI" w:hAnsi="Nirmala UI" w:cs="Nirmala UI"/>
          <w:spacing w:val="-30"/>
        </w:rPr>
        <w:t xml:space="preserve"> </w:t>
      </w:r>
      <w:proofErr w:type="spellStart"/>
      <w:r>
        <w:rPr>
          <w:rFonts w:ascii="Nirmala UI" w:eastAsia="Nirmala UI" w:hAnsi="Nirmala UI" w:cs="Nirmala UI"/>
        </w:rPr>
        <w:t>ভ</w:t>
      </w:r>
      <w:r>
        <w:rPr>
          <w:rFonts w:ascii="Nirmala UI" w:eastAsia="Nirmala UI" w:hAnsi="Nirmala UI" w:cs="Nirmala UI"/>
          <w:spacing w:val="-1"/>
        </w:rPr>
        <w:t>া</w:t>
      </w:r>
      <w:r>
        <w:rPr>
          <w:rFonts w:ascii="Nirmala UI" w:eastAsia="Nirmala UI" w:hAnsi="Nirmala UI" w:cs="Nirmala UI"/>
        </w:rPr>
        <w:t>ষায়</w:t>
      </w:r>
      <w:proofErr w:type="spellEnd"/>
      <w:r>
        <w:rPr>
          <w:rFonts w:ascii="Nirmala UI" w:eastAsia="Nirmala UI" w:hAnsi="Nirmala UI" w:cs="Nirmala UI"/>
        </w:rPr>
        <w:t xml:space="preserve"> </w:t>
      </w:r>
      <w:r>
        <w:rPr>
          <w:rFonts w:ascii="Nirmala UI" w:eastAsia="Nirmala UI" w:hAnsi="Nirmala UI" w:cs="Nirmala UI"/>
          <w:spacing w:val="-28"/>
        </w:rPr>
        <w:t xml:space="preserve"> </w:t>
      </w:r>
      <w:proofErr w:type="spellStart"/>
      <w:r>
        <w:rPr>
          <w:rFonts w:ascii="Nirmala UI" w:eastAsia="Nirmala UI" w:hAnsi="Nirmala UI" w:cs="Nirmala UI"/>
        </w:rPr>
        <w:t>এই</w:t>
      </w:r>
      <w:proofErr w:type="spellEnd"/>
      <w:r>
        <w:rPr>
          <w:rFonts w:ascii="Nirmala UI" w:eastAsia="Nirmala UI" w:hAnsi="Nirmala UI" w:cs="Nirmala UI"/>
        </w:rPr>
        <w:t xml:space="preserve"> </w:t>
      </w:r>
      <w:r>
        <w:rPr>
          <w:rFonts w:ascii="Nirmala UI" w:eastAsia="Nirmala UI" w:hAnsi="Nirmala UI" w:cs="Nirmala UI"/>
          <w:spacing w:val="-26"/>
        </w:rPr>
        <w:t xml:space="preserve"> </w:t>
      </w:r>
      <w:proofErr w:type="spellStart"/>
      <w:r>
        <w:rPr>
          <w:rFonts w:ascii="Nirmala UI" w:eastAsia="Nirmala UI" w:hAnsi="Nirmala UI" w:cs="Nirmala UI"/>
          <w:spacing w:val="-3"/>
        </w:rPr>
        <w:t>ত</w:t>
      </w:r>
      <w:r>
        <w:rPr>
          <w:rFonts w:ascii="Nirmala UI" w:eastAsia="Nirmala UI" w:hAnsi="Nirmala UI" w:cs="Nirmala UI"/>
          <w:spacing w:val="-1"/>
          <w:w w:val="72"/>
        </w:rPr>
        <w:t>থ্যয</w:t>
      </w:r>
      <w:r>
        <w:rPr>
          <w:rFonts w:ascii="Nirmala UI" w:eastAsia="Nirmala UI" w:hAnsi="Nirmala UI" w:cs="Nirmala UI"/>
        </w:rPr>
        <w:t>র</w:t>
      </w:r>
      <w:proofErr w:type="spellEnd"/>
      <w:r>
        <w:rPr>
          <w:rFonts w:ascii="Nirmala UI" w:eastAsia="Nirmala UI" w:hAnsi="Nirmala UI" w:cs="Nirmala UI"/>
        </w:rPr>
        <w:t xml:space="preserve"> </w:t>
      </w:r>
      <w:r>
        <w:rPr>
          <w:rFonts w:ascii="Nirmala UI" w:eastAsia="Nirmala UI" w:hAnsi="Nirmala UI" w:cs="Nirmala UI"/>
          <w:spacing w:val="-27"/>
        </w:rPr>
        <w:t xml:space="preserve"> </w:t>
      </w:r>
      <w:proofErr w:type="spellStart"/>
      <w:r>
        <w:rPr>
          <w:rFonts w:ascii="Nirmala UI" w:eastAsia="Nirmala UI" w:hAnsi="Nirmala UI" w:cs="Nirmala UI"/>
          <w:w w:val="117"/>
        </w:rPr>
        <w:t>সংদ</w:t>
      </w:r>
      <w:r>
        <w:rPr>
          <w:rFonts w:ascii="Nirmala UI" w:eastAsia="Nirmala UI" w:hAnsi="Nirmala UI" w:cs="Nirmala UI"/>
          <w:spacing w:val="-3"/>
          <w:w w:val="117"/>
        </w:rPr>
        <w:t>ি</w:t>
      </w:r>
      <w:r>
        <w:rPr>
          <w:rFonts w:ascii="Nirmala UI" w:eastAsia="Nirmala UI" w:hAnsi="Nirmala UI" w:cs="Nirmala UI"/>
          <w:w w:val="55"/>
        </w:rPr>
        <w:t>প্ত</w:t>
      </w:r>
      <w:r>
        <w:rPr>
          <w:rFonts w:ascii="Nirmala UI" w:eastAsia="Nirmala UI" w:hAnsi="Nirmala UI" w:cs="Nirmala UI"/>
        </w:rPr>
        <w:t>সার</w:t>
      </w:r>
      <w:proofErr w:type="spellEnd"/>
      <w:r>
        <w:rPr>
          <w:rFonts w:ascii="Nirmala UI" w:eastAsia="Nirmala UI" w:hAnsi="Nirmala UI" w:cs="Nirmala UI"/>
        </w:rPr>
        <w:t xml:space="preserve"> </w:t>
      </w:r>
      <w:r>
        <w:rPr>
          <w:rFonts w:ascii="Nirmala UI" w:eastAsia="Nirmala UI" w:hAnsi="Nirmala UI" w:cs="Nirmala UI"/>
          <w:spacing w:val="-30"/>
        </w:rPr>
        <w:t xml:space="preserve"> </w:t>
      </w:r>
      <w:proofErr w:type="spellStart"/>
      <w:r>
        <w:rPr>
          <w:rFonts w:ascii="Nirmala UI" w:eastAsia="Nirmala UI" w:hAnsi="Nirmala UI" w:cs="Nirmala UI"/>
          <w:spacing w:val="1"/>
        </w:rPr>
        <w:t>চ</w:t>
      </w:r>
      <w:r>
        <w:rPr>
          <w:rFonts w:ascii="Nirmala UI" w:eastAsia="Nirmala UI" w:hAnsi="Nirmala UI" w:cs="Nirmala UI"/>
          <w:w w:val="188"/>
        </w:rPr>
        <w:t>াি</w:t>
      </w:r>
      <w:proofErr w:type="spellEnd"/>
      <w:r>
        <w:rPr>
          <w:rFonts w:ascii="Nirmala UI" w:eastAsia="Nirmala UI" w:hAnsi="Nirmala UI" w:cs="Nirmala UI"/>
        </w:rPr>
        <w:t xml:space="preserve"> </w:t>
      </w:r>
      <w:r>
        <w:rPr>
          <w:rFonts w:ascii="Nirmala UI" w:eastAsia="Nirmala UI" w:hAnsi="Nirmala UI" w:cs="Nirmala UI"/>
          <w:spacing w:val="-28"/>
        </w:rPr>
        <w:t xml:space="preserve"> </w:t>
      </w:r>
      <w:proofErr w:type="spellStart"/>
      <w:r>
        <w:rPr>
          <w:rFonts w:ascii="Nirmala UI" w:eastAsia="Nirmala UI" w:hAnsi="Nirmala UI" w:cs="Nirmala UI"/>
        </w:rPr>
        <w:t>অ</w:t>
      </w:r>
      <w:r>
        <w:rPr>
          <w:rFonts w:ascii="Nirmala UI" w:eastAsia="Nirmala UI" w:hAnsi="Nirmala UI" w:cs="Nirmala UI"/>
          <w:w w:val="101"/>
        </w:rPr>
        <w:t>যবা</w:t>
      </w:r>
      <w:proofErr w:type="spellEnd"/>
      <w:r>
        <w:rPr>
          <w:rFonts w:ascii="Nirmala UI" w:eastAsia="Nirmala UI" w:hAnsi="Nirmala UI" w:cs="Nirmala UI"/>
        </w:rPr>
        <w:t xml:space="preserve"> </w:t>
      </w:r>
      <w:r>
        <w:rPr>
          <w:rFonts w:ascii="Nirmala UI" w:eastAsia="Nirmala UI" w:hAnsi="Nirmala UI" w:cs="Nirmala UI"/>
          <w:spacing w:val="-28"/>
        </w:rPr>
        <w:t xml:space="preserve"> </w:t>
      </w:r>
      <w:proofErr w:type="spellStart"/>
      <w:r>
        <w:rPr>
          <w:rFonts w:ascii="Nirmala UI" w:eastAsia="Nirmala UI" w:hAnsi="Nirmala UI" w:cs="Nirmala UI"/>
          <w:w w:val="33"/>
        </w:rPr>
        <w:t>ব্</w:t>
      </w:r>
      <w:r>
        <w:rPr>
          <w:rFonts w:ascii="Nirmala UI" w:eastAsia="Nirmala UI" w:hAnsi="Nirmala UI" w:cs="Nirmala UI"/>
          <w:spacing w:val="-3"/>
          <w:w w:val="33"/>
        </w:rPr>
        <w:t>র</w:t>
      </w:r>
      <w:r>
        <w:rPr>
          <w:rFonts w:ascii="Nirmala UI" w:eastAsia="Nirmala UI" w:hAnsi="Nirmala UI" w:cs="Nirmala UI"/>
          <w:w w:val="169"/>
        </w:rPr>
        <w:t>ে</w:t>
      </w:r>
      <w:r>
        <w:rPr>
          <w:rFonts w:ascii="Nirmala UI" w:eastAsia="Nirmala UI" w:hAnsi="Nirmala UI" w:cs="Nirmala UI"/>
        </w:rPr>
        <w:t>ই</w:t>
      </w:r>
      <w:r>
        <w:rPr>
          <w:rFonts w:ascii="Nirmala UI" w:eastAsia="Nirmala UI" w:hAnsi="Nirmala UI" w:cs="Nirmala UI"/>
          <w:spacing w:val="-3"/>
        </w:rPr>
        <w:t>ল</w:t>
      </w:r>
      <w:proofErr w:type="spellEnd"/>
      <w:r>
        <w:t xml:space="preserve">, </w:t>
      </w:r>
      <w:r>
        <w:rPr>
          <w:spacing w:val="-30"/>
        </w:rPr>
        <w:t xml:space="preserve"> </w:t>
      </w:r>
      <w:proofErr w:type="spellStart"/>
      <w:r>
        <w:rPr>
          <w:rFonts w:ascii="Nirmala UI" w:eastAsia="Nirmala UI" w:hAnsi="Nirmala UI" w:cs="Nirmala UI"/>
          <w:spacing w:val="-1"/>
          <w:w w:val="101"/>
        </w:rPr>
        <w:t>কয</w:t>
      </w:r>
      <w:r>
        <w:rPr>
          <w:rFonts w:ascii="Nirmala UI" w:eastAsia="Nirmala UI" w:hAnsi="Nirmala UI" w:cs="Nirmala UI"/>
          <w:w w:val="101"/>
        </w:rPr>
        <w:t>া</w:t>
      </w:r>
      <w:proofErr w:type="spellEnd"/>
      <w:r>
        <w:rPr>
          <w:rFonts w:ascii="Nirmala UI" w:eastAsia="Nirmala UI" w:hAnsi="Nirmala UI" w:cs="Nirmala UI"/>
        </w:rPr>
        <w:t xml:space="preserve"> </w:t>
      </w:r>
      <w:r>
        <w:rPr>
          <w:rFonts w:ascii="Nirmala UI" w:eastAsia="Nirmala UI" w:hAnsi="Nirmala UI" w:cs="Nirmala UI"/>
          <w:spacing w:val="-27"/>
        </w:rPr>
        <w:t xml:space="preserve"> </w:t>
      </w:r>
      <w:proofErr w:type="spellStart"/>
      <w:r>
        <w:rPr>
          <w:rFonts w:ascii="Nirmala UI" w:eastAsia="Nirmala UI" w:hAnsi="Nirmala UI" w:cs="Nirmala UI"/>
          <w:spacing w:val="-1"/>
        </w:rPr>
        <w:t>বল</w:t>
      </w:r>
      <w:r>
        <w:rPr>
          <w:rFonts w:ascii="Nirmala UI" w:eastAsia="Nirmala UI" w:hAnsi="Nirmala UI" w:cs="Nirmala UI"/>
        </w:rPr>
        <w:t>া</w:t>
      </w:r>
      <w:proofErr w:type="spellEnd"/>
      <w:r>
        <w:rPr>
          <w:rFonts w:ascii="Nirmala UI" w:eastAsia="Nirmala UI" w:hAnsi="Nirmala UI" w:cs="Nirmala UI"/>
        </w:rPr>
        <w:t xml:space="preserve"> </w:t>
      </w:r>
      <w:r>
        <w:rPr>
          <w:rFonts w:ascii="Nirmala UI" w:eastAsia="Nirmala UI" w:hAnsi="Nirmala UI" w:cs="Nirmala UI"/>
          <w:spacing w:val="-28"/>
        </w:rPr>
        <w:t xml:space="preserve"> </w:t>
      </w:r>
      <w:proofErr w:type="spellStart"/>
      <w:r>
        <w:rPr>
          <w:rFonts w:ascii="Nirmala UI" w:eastAsia="Nirmala UI" w:hAnsi="Nirmala UI" w:cs="Nirmala UI"/>
          <w:spacing w:val="-1"/>
          <w:w w:val="81"/>
        </w:rPr>
        <w:t>ব্রি</w:t>
      </w:r>
      <w:r>
        <w:rPr>
          <w:rFonts w:ascii="Nirmala UI" w:eastAsia="Nirmala UI" w:hAnsi="Nirmala UI" w:cs="Nirmala UI"/>
          <w:w w:val="81"/>
        </w:rPr>
        <w:t>প</w:t>
      </w:r>
      <w:proofErr w:type="spellEnd"/>
      <w:r>
        <w:rPr>
          <w:rFonts w:ascii="Nirmala UI" w:eastAsia="Nirmala UI" w:hAnsi="Nirmala UI" w:cs="Nirmala UI"/>
        </w:rPr>
        <w:t xml:space="preserve"> </w:t>
      </w:r>
      <w:r>
        <w:rPr>
          <w:rFonts w:ascii="Nirmala UI" w:eastAsia="Nirmala UI" w:hAnsi="Nirmala UI" w:cs="Nirmala UI"/>
          <w:spacing w:val="-28"/>
        </w:rPr>
        <w:t xml:space="preserve"> </w:t>
      </w:r>
      <w:proofErr w:type="spellStart"/>
      <w:r>
        <w:rPr>
          <w:rFonts w:ascii="Nirmala UI" w:eastAsia="Nirmala UI" w:hAnsi="Nirmala UI" w:cs="Nirmala UI"/>
        </w:rPr>
        <w:t>অ</w:t>
      </w:r>
      <w:r>
        <w:rPr>
          <w:rFonts w:ascii="Nirmala UI" w:eastAsia="Nirmala UI" w:hAnsi="Nirmala UI" w:cs="Nirmala UI"/>
          <w:w w:val="101"/>
        </w:rPr>
        <w:t>যবা</w:t>
      </w:r>
      <w:proofErr w:type="spellEnd"/>
      <w:r>
        <w:rPr>
          <w:rFonts w:ascii="Nirmala UI" w:eastAsia="Nirmala UI" w:hAnsi="Nirmala UI" w:cs="Nirmala UI"/>
          <w:w w:val="101"/>
        </w:rPr>
        <w:t xml:space="preserve"> </w:t>
      </w:r>
      <w:proofErr w:type="spellStart"/>
      <w:r>
        <w:rPr>
          <w:rFonts w:ascii="Nirmala UI" w:eastAsia="Nirmala UI" w:hAnsi="Nirmala UI" w:cs="Nirmala UI"/>
          <w:spacing w:val="-1"/>
          <w:w w:val="117"/>
        </w:rPr>
        <w:t>দ</w:t>
      </w:r>
      <w:r>
        <w:rPr>
          <w:rFonts w:ascii="Nirmala UI" w:eastAsia="Nirmala UI" w:hAnsi="Nirmala UI" w:cs="Nirmala UI"/>
          <w:spacing w:val="-2"/>
          <w:w w:val="117"/>
        </w:rPr>
        <w:t>ি</w:t>
      </w:r>
      <w:r>
        <w:rPr>
          <w:spacing w:val="1"/>
        </w:rPr>
        <w:t>.</w:t>
      </w:r>
      <w:r>
        <w:rPr>
          <w:rFonts w:ascii="Nirmala UI" w:eastAsia="Nirmala UI" w:hAnsi="Nirmala UI" w:cs="Nirmala UI"/>
          <w:spacing w:val="-1"/>
          <w:w w:val="72"/>
        </w:rPr>
        <w:t>দভ</w:t>
      </w:r>
      <w:r>
        <w:t>.</w:t>
      </w:r>
      <w:r>
        <w:rPr>
          <w:rFonts w:ascii="Nirmala UI" w:eastAsia="Nirmala UI" w:hAnsi="Nirmala UI" w:cs="Nirmala UI"/>
          <w:spacing w:val="-1"/>
          <w:w w:val="117"/>
        </w:rPr>
        <w:t>দ</w:t>
      </w:r>
      <w:r>
        <w:rPr>
          <w:rFonts w:ascii="Nirmala UI" w:eastAsia="Nirmala UI" w:hAnsi="Nirmala UI" w:cs="Nirmala UI"/>
          <w:spacing w:val="-2"/>
          <w:w w:val="117"/>
        </w:rPr>
        <w:t>ি</w:t>
      </w:r>
      <w:proofErr w:type="spellEnd"/>
      <w:r>
        <w:t>.</w:t>
      </w:r>
      <w:r>
        <w:rPr>
          <w:spacing w:val="-1"/>
        </w:rPr>
        <w:t xml:space="preserve"> </w:t>
      </w:r>
      <w:proofErr w:type="spellStart"/>
      <w:r>
        <w:rPr>
          <w:rFonts w:ascii="Nirmala UI" w:eastAsia="Nirmala UI" w:hAnsi="Nirmala UI" w:cs="Nirmala UI"/>
          <w:spacing w:val="-3"/>
        </w:rPr>
        <w:t>ফ</w:t>
      </w:r>
      <w:r>
        <w:rPr>
          <w:rFonts w:ascii="Nirmala UI" w:eastAsia="Nirmala UI" w:hAnsi="Nirmala UI" w:cs="Nirmala UI"/>
          <w:spacing w:val="-1"/>
          <w:w w:val="102"/>
        </w:rPr>
        <w:t>রম্যাি</w:t>
      </w:r>
      <w:proofErr w:type="spellEnd"/>
      <w:r>
        <w:rPr>
          <w:spacing w:val="-2"/>
        </w:rPr>
        <w:t>-</w:t>
      </w:r>
      <w:r>
        <w:rPr>
          <w:rFonts w:ascii="Nirmala UI" w:eastAsia="Nirmala UI" w:hAnsi="Nirmala UI" w:cs="Nirmala UI"/>
        </w:rPr>
        <w:t xml:space="preserve">এ </w:t>
      </w:r>
      <w:proofErr w:type="spellStart"/>
      <w:r>
        <w:rPr>
          <w:rFonts w:ascii="Nirmala UI" w:eastAsia="Nirmala UI" w:hAnsi="Nirmala UI" w:cs="Nirmala UI"/>
        </w:rPr>
        <w:t>এই</w:t>
      </w:r>
      <w:proofErr w:type="spellEnd"/>
      <w:r>
        <w:rPr>
          <w:rFonts w:ascii="Nirmala UI" w:eastAsia="Nirmala UI" w:hAnsi="Nirmala UI" w:cs="Nirmala UI"/>
          <w:spacing w:val="-2"/>
        </w:rPr>
        <w:t xml:space="preserve"> </w:t>
      </w:r>
      <w:proofErr w:type="spellStart"/>
      <w:r>
        <w:rPr>
          <w:rFonts w:ascii="Nirmala UI" w:eastAsia="Nirmala UI" w:hAnsi="Nirmala UI" w:cs="Nirmala UI"/>
          <w:w w:val="85"/>
        </w:rPr>
        <w:t>তযয</w:t>
      </w:r>
      <w:proofErr w:type="spellEnd"/>
      <w:r>
        <w:rPr>
          <w:rFonts w:ascii="Nirmala UI" w:eastAsia="Nirmala UI" w:hAnsi="Nirmala UI" w:cs="Nirmala UI"/>
          <w:spacing w:val="1"/>
        </w:rPr>
        <w:t xml:space="preserve"> </w:t>
      </w:r>
      <w:proofErr w:type="spellStart"/>
      <w:r>
        <w:rPr>
          <w:rFonts w:ascii="Nirmala UI" w:eastAsia="Nirmala UI" w:hAnsi="Nirmala UI" w:cs="Nirmala UI"/>
          <w:spacing w:val="1"/>
        </w:rPr>
        <w:t>চ</w:t>
      </w:r>
      <w:r>
        <w:rPr>
          <w:rFonts w:ascii="Nirmala UI" w:eastAsia="Nirmala UI" w:hAnsi="Nirmala UI" w:cs="Nirmala UI"/>
          <w:w w:val="188"/>
        </w:rPr>
        <w:t>া</w:t>
      </w:r>
      <w:r>
        <w:rPr>
          <w:rFonts w:ascii="Nirmala UI" w:eastAsia="Nirmala UI" w:hAnsi="Nirmala UI" w:cs="Nirmala UI"/>
          <w:spacing w:val="-4"/>
          <w:w w:val="188"/>
        </w:rPr>
        <w:t>ি</w:t>
      </w:r>
      <w:proofErr w:type="spellEnd"/>
      <w:r>
        <w:t>,</w:t>
      </w:r>
      <w:r>
        <w:rPr>
          <w:spacing w:val="-1"/>
        </w:rPr>
        <w:t xml:space="preserve"> </w:t>
      </w:r>
      <w:proofErr w:type="spellStart"/>
      <w:r>
        <w:rPr>
          <w:rFonts w:ascii="Nirmala UI" w:eastAsia="Nirmala UI" w:hAnsi="Nirmala UI" w:cs="Nirmala UI"/>
          <w:w w:val="89"/>
        </w:rPr>
        <w:t>তাহথ্</w:t>
      </w:r>
      <w:r>
        <w:rPr>
          <w:rFonts w:ascii="Nirmala UI" w:eastAsia="Nirmala UI" w:hAnsi="Nirmala UI" w:cs="Nirmala UI"/>
        </w:rPr>
        <w:t>ল</w:t>
      </w:r>
      <w:proofErr w:type="spellEnd"/>
      <w:r>
        <w:rPr>
          <w:rFonts w:ascii="Nirmala UI" w:eastAsia="Nirmala UI" w:hAnsi="Nirmala UI" w:cs="Nirmala UI"/>
          <w:spacing w:val="-2"/>
        </w:rPr>
        <w:t xml:space="preserve"> </w:t>
      </w:r>
      <w:proofErr w:type="spellStart"/>
      <w:r>
        <w:rPr>
          <w:rFonts w:ascii="Nirmala UI" w:eastAsia="Nirmala UI" w:hAnsi="Nirmala UI" w:cs="Nirmala UI"/>
        </w:rPr>
        <w:t>অ</w:t>
      </w:r>
      <w:r>
        <w:rPr>
          <w:rFonts w:ascii="Nirmala UI" w:eastAsia="Nirmala UI" w:hAnsi="Nirmala UI" w:cs="Nirmala UI"/>
          <w:spacing w:val="-4"/>
          <w:w w:val="276"/>
        </w:rPr>
        <w:t>ি</w:t>
      </w:r>
      <w:r>
        <w:rPr>
          <w:rFonts w:ascii="Nirmala UI" w:eastAsia="Nirmala UI" w:hAnsi="Nirmala UI" w:cs="Nirmala UI"/>
          <w:spacing w:val="-170"/>
          <w:w w:val="58"/>
        </w:rPr>
        <w:t>গ্</w:t>
      </w:r>
      <w:r>
        <w:rPr>
          <w:rFonts w:ascii="Nirmala UI" w:eastAsia="Nirmala UI" w:hAnsi="Nirmala UI" w:cs="Nirmala UI"/>
          <w:w w:val="58"/>
        </w:rPr>
        <w:t>র</w:t>
      </w:r>
      <w:r>
        <w:rPr>
          <w:rFonts w:ascii="Nirmala UI" w:eastAsia="Nirmala UI" w:hAnsi="Nirmala UI" w:cs="Nirmala UI"/>
        </w:rPr>
        <w:t>হ</w:t>
      </w:r>
      <w:proofErr w:type="spellEnd"/>
      <w:r>
        <w:rPr>
          <w:rFonts w:ascii="Nirmala UI" w:eastAsia="Nirmala UI" w:hAnsi="Nirmala UI" w:cs="Nirmala UI"/>
        </w:rPr>
        <w:t xml:space="preserve"> </w:t>
      </w:r>
      <w:proofErr w:type="spellStart"/>
      <w:r>
        <w:rPr>
          <w:rFonts w:ascii="Nirmala UI" w:eastAsia="Nirmala UI" w:hAnsi="Nirmala UI" w:cs="Nirmala UI"/>
        </w:rPr>
        <w:t>ক</w:t>
      </w:r>
      <w:r>
        <w:rPr>
          <w:rFonts w:ascii="Nirmala UI" w:eastAsia="Nirmala UI" w:hAnsi="Nirmala UI" w:cs="Nirmala UI"/>
          <w:w w:val="63"/>
        </w:rPr>
        <w:t>থ্</w:t>
      </w:r>
      <w:r>
        <w:rPr>
          <w:rFonts w:ascii="Nirmala UI" w:eastAsia="Nirmala UI" w:hAnsi="Nirmala UI" w:cs="Nirmala UI"/>
        </w:rPr>
        <w:t>র</w:t>
      </w:r>
      <w:proofErr w:type="spellEnd"/>
      <w:r>
        <w:rPr>
          <w:rFonts w:ascii="Nirmala UI" w:eastAsia="Nirmala UI" w:hAnsi="Nirmala UI" w:cs="Nirmala UI"/>
        </w:rPr>
        <w:t xml:space="preserve"> </w:t>
      </w:r>
      <w:proofErr w:type="spellStart"/>
      <w:r>
        <w:rPr>
          <w:rFonts w:ascii="Nirmala UI" w:eastAsia="Nirmala UI" w:hAnsi="Nirmala UI" w:cs="Nirmala UI"/>
          <w:spacing w:val="-1"/>
          <w:w w:val="105"/>
        </w:rPr>
        <w:t>দি</w:t>
      </w:r>
      <w:r>
        <w:rPr>
          <w:rFonts w:ascii="Nirmala UI" w:eastAsia="Nirmala UI" w:hAnsi="Nirmala UI" w:cs="Nirmala UI"/>
          <w:spacing w:val="-1"/>
          <w:w w:val="80"/>
        </w:rPr>
        <w:t>থ্চ</w:t>
      </w:r>
      <w:r>
        <w:rPr>
          <w:rFonts w:ascii="Nirmala UI" w:eastAsia="Nirmala UI" w:hAnsi="Nirmala UI" w:cs="Nirmala UI"/>
        </w:rPr>
        <w:t>র</w:t>
      </w:r>
      <w:proofErr w:type="spellEnd"/>
      <w:r>
        <w:rPr>
          <w:rFonts w:ascii="Nirmala UI" w:eastAsia="Nirmala UI" w:hAnsi="Nirmala UI" w:cs="Nirmala UI"/>
          <w:spacing w:val="2"/>
        </w:rPr>
        <w:t xml:space="preserve"> </w:t>
      </w:r>
      <w:proofErr w:type="spellStart"/>
      <w:r>
        <w:rPr>
          <w:rFonts w:ascii="Nirmala UI" w:eastAsia="Nirmala UI" w:hAnsi="Nirmala UI" w:cs="Nirmala UI"/>
          <w:spacing w:val="-1"/>
          <w:w w:val="276"/>
        </w:rPr>
        <w:t>ি</w:t>
      </w:r>
      <w:r>
        <w:rPr>
          <w:rFonts w:ascii="Nirmala UI" w:eastAsia="Nirmala UI" w:hAnsi="Nirmala UI" w:cs="Nirmala UI"/>
          <w:w w:val="51"/>
        </w:rPr>
        <w:t>ম্</w:t>
      </w:r>
      <w:r>
        <w:rPr>
          <w:rFonts w:ascii="Nirmala UI" w:eastAsia="Nirmala UI" w:hAnsi="Nirmala UI" w:cs="Nirmala UI"/>
          <w:spacing w:val="-3"/>
          <w:w w:val="51"/>
        </w:rPr>
        <w:t>ব</w:t>
      </w:r>
      <w:r>
        <w:rPr>
          <w:rFonts w:ascii="Nirmala UI" w:eastAsia="Nirmala UI" w:hAnsi="Nirmala UI" w:cs="Nirmala UI"/>
          <w:spacing w:val="-1"/>
          <w:w w:val="81"/>
        </w:rPr>
        <w:t>থ্</w:t>
      </w:r>
      <w:r>
        <w:rPr>
          <w:rFonts w:ascii="Nirmala UI" w:eastAsia="Nirmala UI" w:hAnsi="Nirmala UI" w:cs="Nirmala UI"/>
          <w:w w:val="81"/>
        </w:rPr>
        <w:t>র</w:t>
      </w:r>
      <w:proofErr w:type="spellEnd"/>
      <w:r>
        <w:rPr>
          <w:rFonts w:ascii="Nirmala UI" w:eastAsia="Nirmala UI" w:hAnsi="Nirmala UI" w:cs="Nirmala UI"/>
        </w:rPr>
        <w:t xml:space="preserve"> </w:t>
      </w:r>
      <w:proofErr w:type="spellStart"/>
      <w:r>
        <w:rPr>
          <w:rFonts w:ascii="Nirmala UI" w:eastAsia="Nirmala UI" w:hAnsi="Nirmala UI" w:cs="Nirmala UI"/>
          <w:spacing w:val="-1"/>
          <w:w w:val="71"/>
        </w:rPr>
        <w:t>ব্রিদ</w:t>
      </w:r>
      <w:r>
        <w:rPr>
          <w:rFonts w:ascii="Nirmala UI" w:eastAsia="Nirmala UI" w:hAnsi="Nirmala UI" w:cs="Nirmala UI"/>
          <w:spacing w:val="-2"/>
          <w:w w:val="71"/>
        </w:rPr>
        <w:t>ল</w:t>
      </w:r>
      <w:r>
        <w:rPr>
          <w:rFonts w:ascii="Nirmala UI" w:eastAsia="Nirmala UI" w:hAnsi="Nirmala UI" w:cs="Nirmala UI"/>
          <w:spacing w:val="-1"/>
          <w:w w:val="84"/>
        </w:rPr>
        <w:t>থ্</w:t>
      </w:r>
      <w:r>
        <w:rPr>
          <w:rFonts w:ascii="Nirmala UI" w:eastAsia="Nirmala UI" w:hAnsi="Nirmala UI" w:cs="Nirmala UI"/>
          <w:spacing w:val="-2"/>
          <w:w w:val="84"/>
        </w:rPr>
        <w:t>ফ</w:t>
      </w:r>
      <w:r>
        <w:rPr>
          <w:rFonts w:ascii="Nirmala UI" w:eastAsia="Nirmala UI" w:hAnsi="Nirmala UI" w:cs="Nirmala UI"/>
          <w:w w:val="188"/>
        </w:rPr>
        <w:t>াি</w:t>
      </w:r>
      <w:proofErr w:type="spellEnd"/>
      <w:r>
        <w:rPr>
          <w:rFonts w:ascii="Nirmala UI" w:eastAsia="Nirmala UI" w:hAnsi="Nirmala UI" w:cs="Nirmala UI"/>
          <w:spacing w:val="1"/>
        </w:rPr>
        <w:t xml:space="preserve"> </w:t>
      </w:r>
      <w:proofErr w:type="spellStart"/>
      <w:r>
        <w:rPr>
          <w:rFonts w:ascii="Nirmala UI" w:eastAsia="Nirmala UI" w:hAnsi="Nirmala UI" w:cs="Nirmala UI"/>
          <w:spacing w:val="-1"/>
          <w:w w:val="132"/>
        </w:rPr>
        <w:t>করুি</w:t>
      </w:r>
      <w:proofErr w:type="spellEnd"/>
      <w:r>
        <w:rPr>
          <w:rFonts w:ascii="Nirmala UI" w:eastAsia="Nirmala UI" w:hAnsi="Nirmala UI" w:cs="Nirmala UI"/>
          <w:spacing w:val="-1"/>
          <w:w w:val="132"/>
        </w:rPr>
        <w:t>।</w:t>
      </w:r>
    </w:p>
    <w:p w14:paraId="23AE05B0" w14:textId="77777777" w:rsidR="00AB3ABB" w:rsidRDefault="0017742F">
      <w:pPr>
        <w:pStyle w:val="BodyText"/>
        <w:spacing w:before="158"/>
        <w:jc w:val="left"/>
      </w:pPr>
      <w:r>
        <w:t>Farsi:</w:t>
      </w:r>
    </w:p>
    <w:p w14:paraId="661CED1A" w14:textId="77777777" w:rsidR="00AB3ABB" w:rsidRDefault="0017742F">
      <w:pPr>
        <w:pStyle w:val="BodyText"/>
        <w:bidi/>
        <w:spacing w:before="183"/>
        <w:ind w:left="124"/>
        <w:jc w:val="left"/>
      </w:pPr>
      <w:proofErr w:type="spellStart"/>
      <w:r>
        <w:rPr>
          <w:rtl/>
        </w:rPr>
        <w:t>در</w:t>
      </w:r>
      <w:proofErr w:type="spellEnd"/>
      <w:r>
        <w:rPr>
          <w:spacing w:val="-5"/>
          <w:rtl/>
        </w:rPr>
        <w:t xml:space="preserve"> </w:t>
      </w:r>
      <w:proofErr w:type="spellStart"/>
      <w:r>
        <w:rPr>
          <w:w w:val="87"/>
          <w:rtl/>
        </w:rPr>
        <w:t>صور</w:t>
      </w:r>
      <w:r>
        <w:rPr>
          <w:spacing w:val="1"/>
          <w:w w:val="34"/>
          <w:rtl/>
        </w:rPr>
        <w:t>ت</w:t>
      </w:r>
      <w:r>
        <w:rPr>
          <w:spacing w:val="-3"/>
          <w:w w:val="92"/>
          <w:rtl/>
        </w:rPr>
        <w:t>ی</w:t>
      </w:r>
      <w:proofErr w:type="spellEnd"/>
      <w:r>
        <w:rPr>
          <w:spacing w:val="-7"/>
          <w:rtl/>
        </w:rPr>
        <w:t xml:space="preserve"> </w:t>
      </w:r>
      <w:proofErr w:type="spellStart"/>
      <w:r>
        <w:rPr>
          <w:w w:val="48"/>
          <w:rtl/>
        </w:rPr>
        <w:t>ک</w:t>
      </w:r>
      <w:r>
        <w:rPr>
          <w:spacing w:val="-2"/>
          <w:w w:val="133"/>
          <w:rtl/>
        </w:rPr>
        <w:t>ه</w:t>
      </w:r>
      <w:proofErr w:type="spellEnd"/>
      <w:r>
        <w:rPr>
          <w:spacing w:val="-7"/>
          <w:rtl/>
        </w:rPr>
        <w:t xml:space="preserve"> </w:t>
      </w:r>
      <w:proofErr w:type="spellStart"/>
      <w:r>
        <w:rPr>
          <w:w w:val="114"/>
          <w:rtl/>
        </w:rPr>
        <w:t>م</w:t>
      </w:r>
      <w:r>
        <w:rPr>
          <w:spacing w:val="-1"/>
          <w:w w:val="114"/>
          <w:rtl/>
        </w:rPr>
        <w:t>ا</w:t>
      </w:r>
      <w:r>
        <w:rPr>
          <w:spacing w:val="1"/>
          <w:w w:val="38"/>
          <w:rtl/>
        </w:rPr>
        <w:t>ی</w:t>
      </w:r>
      <w:r>
        <w:rPr>
          <w:spacing w:val="-3"/>
          <w:w w:val="41"/>
          <w:rtl/>
        </w:rPr>
        <w:t>ل</w:t>
      </w:r>
      <w:r>
        <w:rPr>
          <w:spacing w:val="1"/>
          <w:w w:val="38"/>
          <w:rtl/>
        </w:rPr>
        <w:t>ی</w:t>
      </w:r>
      <w:r>
        <w:rPr>
          <w:spacing w:val="-3"/>
          <w:rtl/>
        </w:rPr>
        <w:t>د</w:t>
      </w:r>
      <w:proofErr w:type="spellEnd"/>
      <w:r>
        <w:rPr>
          <w:spacing w:val="-6"/>
          <w:rtl/>
        </w:rPr>
        <w:t xml:space="preserve"> </w:t>
      </w:r>
      <w:proofErr w:type="spellStart"/>
      <w:r>
        <w:rPr>
          <w:w w:val="83"/>
          <w:rtl/>
        </w:rPr>
        <w:t>خ</w:t>
      </w:r>
      <w:r>
        <w:rPr>
          <w:spacing w:val="-1"/>
          <w:w w:val="83"/>
          <w:rtl/>
        </w:rPr>
        <w:t>الص</w:t>
      </w:r>
      <w:r>
        <w:rPr>
          <w:w w:val="133"/>
          <w:rtl/>
        </w:rPr>
        <w:t>ه</w:t>
      </w:r>
      <w:proofErr w:type="spellEnd"/>
      <w:r>
        <w:rPr>
          <w:spacing w:val="-7"/>
          <w:rtl/>
        </w:rPr>
        <w:t xml:space="preserve"> </w:t>
      </w:r>
      <w:proofErr w:type="spellStart"/>
      <w:r>
        <w:rPr>
          <w:rtl/>
        </w:rPr>
        <w:t>ا</w:t>
      </w:r>
      <w:r>
        <w:rPr>
          <w:spacing w:val="1"/>
          <w:w w:val="38"/>
          <w:rtl/>
        </w:rPr>
        <w:t>ی</w:t>
      </w:r>
      <w:r>
        <w:rPr>
          <w:spacing w:val="-4"/>
          <w:rtl/>
        </w:rPr>
        <w:t>ن</w:t>
      </w:r>
      <w:proofErr w:type="spellEnd"/>
      <w:r>
        <w:rPr>
          <w:spacing w:val="-7"/>
          <w:rtl/>
        </w:rPr>
        <w:t xml:space="preserve"> </w:t>
      </w:r>
      <w:proofErr w:type="spellStart"/>
      <w:r>
        <w:rPr>
          <w:rtl/>
        </w:rPr>
        <w:t>ا</w:t>
      </w:r>
      <w:r>
        <w:rPr>
          <w:spacing w:val="-2"/>
          <w:rtl/>
        </w:rPr>
        <w:t>ط</w:t>
      </w:r>
      <w:r>
        <w:rPr>
          <w:spacing w:val="-1"/>
          <w:w w:val="84"/>
          <w:rtl/>
        </w:rPr>
        <w:t>ا</w:t>
      </w:r>
      <w:r>
        <w:rPr>
          <w:w w:val="84"/>
          <w:rtl/>
        </w:rPr>
        <w:t>ل</w:t>
      </w:r>
      <w:r>
        <w:rPr>
          <w:spacing w:val="-2"/>
          <w:rtl/>
        </w:rPr>
        <w:t>ع</w:t>
      </w:r>
      <w:r>
        <w:rPr>
          <w:spacing w:val="-1"/>
          <w:rtl/>
        </w:rPr>
        <w:t>ا</w:t>
      </w:r>
      <w:r>
        <w:rPr>
          <w:rtl/>
        </w:rPr>
        <w:t>ت</w:t>
      </w:r>
      <w:proofErr w:type="spellEnd"/>
      <w:r>
        <w:rPr>
          <w:spacing w:val="-7"/>
          <w:rtl/>
        </w:rPr>
        <w:t xml:space="preserve"> </w:t>
      </w:r>
      <w:proofErr w:type="spellStart"/>
      <w:r>
        <w:rPr>
          <w:rtl/>
        </w:rPr>
        <w:t>را</w:t>
      </w:r>
      <w:proofErr w:type="spellEnd"/>
      <w:r>
        <w:rPr>
          <w:spacing w:val="-5"/>
          <w:rtl/>
        </w:rPr>
        <w:t xml:space="preserve"> </w:t>
      </w:r>
      <w:proofErr w:type="spellStart"/>
      <w:r>
        <w:rPr>
          <w:w w:val="34"/>
          <w:rtl/>
        </w:rPr>
        <w:t>ب</w:t>
      </w:r>
      <w:r>
        <w:rPr>
          <w:spacing w:val="-4"/>
          <w:w w:val="133"/>
          <w:rtl/>
        </w:rPr>
        <w:t>ه</w:t>
      </w:r>
      <w:proofErr w:type="spellEnd"/>
      <w:r>
        <w:rPr>
          <w:spacing w:val="-6"/>
          <w:rtl/>
        </w:rPr>
        <w:t xml:space="preserve"> </w:t>
      </w:r>
      <w:proofErr w:type="spellStart"/>
      <w:r>
        <w:rPr>
          <w:rtl/>
        </w:rPr>
        <w:t>ز</w:t>
      </w:r>
      <w:r>
        <w:rPr>
          <w:spacing w:val="1"/>
          <w:w w:val="34"/>
          <w:rtl/>
        </w:rPr>
        <w:t>ب</w:t>
      </w:r>
      <w:r>
        <w:rPr>
          <w:spacing w:val="-3"/>
          <w:w w:val="111"/>
          <w:rtl/>
        </w:rPr>
        <w:t>ا</w:t>
      </w:r>
      <w:r>
        <w:rPr>
          <w:spacing w:val="-1"/>
          <w:rtl/>
        </w:rPr>
        <w:t>ن</w:t>
      </w:r>
      <w:proofErr w:type="spellEnd"/>
      <w:r>
        <w:rPr>
          <w:spacing w:val="-5"/>
          <w:rtl/>
        </w:rPr>
        <w:t xml:space="preserve"> </w:t>
      </w:r>
      <w:proofErr w:type="spellStart"/>
      <w:r>
        <w:rPr>
          <w:w w:val="38"/>
          <w:rtl/>
        </w:rPr>
        <w:t>ی</w:t>
      </w:r>
      <w:r>
        <w:rPr>
          <w:spacing w:val="-3"/>
          <w:w w:val="111"/>
          <w:rtl/>
        </w:rPr>
        <w:t>ا</w:t>
      </w:r>
      <w:proofErr w:type="spellEnd"/>
      <w:r>
        <w:rPr>
          <w:spacing w:val="-6"/>
          <w:rtl/>
        </w:rPr>
        <w:t xml:space="preserve"> </w:t>
      </w:r>
      <w:proofErr w:type="spellStart"/>
      <w:r>
        <w:rPr>
          <w:w w:val="71"/>
          <w:rtl/>
        </w:rPr>
        <w:t>فرم</w:t>
      </w:r>
      <w:r>
        <w:rPr>
          <w:rtl/>
        </w:rPr>
        <w:t>ت</w:t>
      </w:r>
      <w:proofErr w:type="spellEnd"/>
      <w:r>
        <w:rPr>
          <w:spacing w:val="-7"/>
          <w:rtl/>
        </w:rPr>
        <w:t xml:space="preserve"> </w:t>
      </w:r>
      <w:proofErr w:type="spellStart"/>
      <w:r>
        <w:rPr>
          <w:rtl/>
        </w:rPr>
        <w:t>د</w:t>
      </w:r>
      <w:r>
        <w:rPr>
          <w:spacing w:val="1"/>
          <w:w w:val="38"/>
          <w:rtl/>
        </w:rPr>
        <w:t>ی</w:t>
      </w:r>
      <w:r>
        <w:rPr>
          <w:spacing w:val="-4"/>
          <w:w w:val="77"/>
          <w:rtl/>
        </w:rPr>
        <w:t>گ</w:t>
      </w:r>
      <w:r>
        <w:rPr>
          <w:w w:val="77"/>
          <w:rtl/>
        </w:rPr>
        <w:t>ر</w:t>
      </w:r>
      <w:r>
        <w:rPr>
          <w:spacing w:val="-2"/>
          <w:rtl/>
        </w:rPr>
        <w:t>ی</w:t>
      </w:r>
      <w:proofErr w:type="spellEnd"/>
      <w:r>
        <w:rPr>
          <w:spacing w:val="-7"/>
          <w:rtl/>
        </w:rPr>
        <w:t xml:space="preserve"> </w:t>
      </w:r>
      <w:proofErr w:type="spellStart"/>
      <w:r>
        <w:rPr>
          <w:w w:val="114"/>
          <w:rtl/>
        </w:rPr>
        <w:t>م</w:t>
      </w:r>
      <w:r>
        <w:rPr>
          <w:spacing w:val="-1"/>
          <w:w w:val="114"/>
          <w:rtl/>
        </w:rPr>
        <w:t>ا</w:t>
      </w:r>
      <w:r>
        <w:rPr>
          <w:spacing w:val="1"/>
          <w:w w:val="46"/>
          <w:rtl/>
        </w:rPr>
        <w:t>ن</w:t>
      </w:r>
      <w:r>
        <w:rPr>
          <w:spacing w:val="-2"/>
          <w:w w:val="46"/>
          <w:rtl/>
        </w:rPr>
        <w:t>ن</w:t>
      </w:r>
      <w:r>
        <w:rPr>
          <w:spacing w:val="-3"/>
          <w:rtl/>
        </w:rPr>
        <w:t>د</w:t>
      </w:r>
      <w:proofErr w:type="spellEnd"/>
      <w:r>
        <w:rPr>
          <w:spacing w:val="-5"/>
          <w:rtl/>
        </w:rPr>
        <w:t xml:space="preserve"> </w:t>
      </w:r>
      <w:proofErr w:type="spellStart"/>
      <w:r>
        <w:rPr>
          <w:w w:val="34"/>
          <w:rtl/>
        </w:rPr>
        <w:t>ب</w:t>
      </w:r>
      <w:r>
        <w:rPr>
          <w:spacing w:val="-3"/>
          <w:rtl/>
        </w:rPr>
        <w:t>ر</w:t>
      </w:r>
      <w:r>
        <w:rPr>
          <w:spacing w:val="1"/>
          <w:w w:val="38"/>
          <w:rtl/>
        </w:rPr>
        <w:t>ی</w:t>
      </w:r>
      <w:r>
        <w:rPr>
          <w:spacing w:val="-2"/>
          <w:rtl/>
        </w:rPr>
        <w:t>ل</w:t>
      </w:r>
      <w:proofErr w:type="spellEnd"/>
      <w:r>
        <w:rPr>
          <w:spacing w:val="-1"/>
          <w:rtl/>
        </w:rPr>
        <w:t>،</w:t>
      </w:r>
      <w:r>
        <w:rPr>
          <w:spacing w:val="-5"/>
          <w:rtl/>
        </w:rPr>
        <w:t xml:space="preserve"> </w:t>
      </w:r>
      <w:proofErr w:type="spellStart"/>
      <w:r>
        <w:rPr>
          <w:w w:val="46"/>
          <w:rtl/>
        </w:rPr>
        <w:t>ن</w:t>
      </w:r>
      <w:r>
        <w:rPr>
          <w:spacing w:val="-2"/>
          <w:rtl/>
        </w:rPr>
        <w:t>و</w:t>
      </w:r>
      <w:r>
        <w:rPr>
          <w:rtl/>
        </w:rPr>
        <w:t>ار</w:t>
      </w:r>
      <w:proofErr w:type="spellEnd"/>
      <w:r>
        <w:rPr>
          <w:spacing w:val="-5"/>
          <w:rtl/>
        </w:rPr>
        <w:t xml:space="preserve"> </w:t>
      </w:r>
      <w:proofErr w:type="spellStart"/>
      <w:r>
        <w:rPr>
          <w:w w:val="38"/>
          <w:rtl/>
        </w:rPr>
        <w:t>ی</w:t>
      </w:r>
      <w:r>
        <w:rPr>
          <w:spacing w:val="-3"/>
          <w:w w:val="111"/>
          <w:rtl/>
        </w:rPr>
        <w:t>ا</w:t>
      </w:r>
      <w:proofErr w:type="spellEnd"/>
      <w:r>
        <w:rPr>
          <w:spacing w:val="-7"/>
          <w:rtl/>
        </w:rPr>
        <w:t xml:space="preserve"> </w:t>
      </w:r>
      <w:proofErr w:type="spellStart"/>
      <w:r>
        <w:rPr>
          <w:rtl/>
        </w:rPr>
        <w:t>دی</w:t>
      </w:r>
      <w:proofErr w:type="spellEnd"/>
      <w:r>
        <w:rPr>
          <w:spacing w:val="-6"/>
          <w:rtl/>
        </w:rPr>
        <w:t xml:space="preserve"> </w:t>
      </w:r>
      <w:proofErr w:type="spellStart"/>
      <w:r>
        <w:rPr>
          <w:rtl/>
        </w:rPr>
        <w:t>وی</w:t>
      </w:r>
      <w:proofErr w:type="spellEnd"/>
      <w:r>
        <w:rPr>
          <w:spacing w:val="-7"/>
          <w:rtl/>
        </w:rPr>
        <w:t xml:space="preserve"> </w:t>
      </w:r>
      <w:proofErr w:type="spellStart"/>
      <w:r>
        <w:rPr>
          <w:rtl/>
        </w:rPr>
        <w:t>د</w:t>
      </w:r>
      <w:r>
        <w:rPr>
          <w:spacing w:val="-2"/>
          <w:rtl/>
        </w:rPr>
        <w:t>ی</w:t>
      </w:r>
      <w:proofErr w:type="spellEnd"/>
      <w:r>
        <w:rPr>
          <w:spacing w:val="-7"/>
          <w:rtl/>
        </w:rPr>
        <w:t xml:space="preserve"> </w:t>
      </w:r>
      <w:proofErr w:type="spellStart"/>
      <w:r>
        <w:rPr>
          <w:rtl/>
        </w:rPr>
        <w:t>د</w:t>
      </w:r>
      <w:r>
        <w:rPr>
          <w:spacing w:val="-3"/>
          <w:rtl/>
        </w:rPr>
        <w:t>ر</w:t>
      </w:r>
      <w:r>
        <w:rPr>
          <w:spacing w:val="1"/>
          <w:w w:val="38"/>
          <w:rtl/>
        </w:rPr>
        <w:t>ی</w:t>
      </w:r>
      <w:r>
        <w:rPr>
          <w:spacing w:val="-3"/>
          <w:w w:val="111"/>
          <w:rtl/>
        </w:rPr>
        <w:t>ا</w:t>
      </w:r>
      <w:r>
        <w:rPr>
          <w:w w:val="34"/>
          <w:rtl/>
        </w:rPr>
        <w:t>ف</w:t>
      </w:r>
      <w:r>
        <w:rPr>
          <w:rtl/>
        </w:rPr>
        <w:t>ت</w:t>
      </w:r>
      <w:proofErr w:type="spellEnd"/>
      <w:r>
        <w:rPr>
          <w:spacing w:val="-7"/>
          <w:rtl/>
        </w:rPr>
        <w:t xml:space="preserve"> </w:t>
      </w:r>
      <w:proofErr w:type="spellStart"/>
      <w:r>
        <w:rPr>
          <w:w w:val="48"/>
          <w:rtl/>
        </w:rPr>
        <w:t>ک</w:t>
      </w:r>
      <w:r>
        <w:rPr>
          <w:spacing w:val="1"/>
          <w:w w:val="46"/>
          <w:rtl/>
        </w:rPr>
        <w:t>ن</w:t>
      </w:r>
      <w:r>
        <w:rPr>
          <w:spacing w:val="-2"/>
          <w:w w:val="38"/>
          <w:rtl/>
        </w:rPr>
        <w:t>ی</w:t>
      </w:r>
      <w:r>
        <w:rPr>
          <w:spacing w:val="-3"/>
          <w:rtl/>
        </w:rPr>
        <w:t>د</w:t>
      </w:r>
      <w:proofErr w:type="spellEnd"/>
      <w:r>
        <w:rPr>
          <w:spacing w:val="-1"/>
          <w:rtl/>
        </w:rPr>
        <w:t>،</w:t>
      </w:r>
      <w:r>
        <w:rPr>
          <w:spacing w:val="-6"/>
          <w:rtl/>
        </w:rPr>
        <w:t xml:space="preserve"> </w:t>
      </w:r>
      <w:proofErr w:type="spellStart"/>
      <w:r>
        <w:rPr>
          <w:w w:val="61"/>
          <w:rtl/>
        </w:rPr>
        <w:t>ل</w:t>
      </w:r>
      <w:r>
        <w:rPr>
          <w:spacing w:val="-1"/>
          <w:w w:val="61"/>
          <w:rtl/>
        </w:rPr>
        <w:t>طفا</w:t>
      </w:r>
      <w:proofErr w:type="spellEnd"/>
      <w:r>
        <w:rPr>
          <w:spacing w:val="-5"/>
          <w:rtl/>
        </w:rPr>
        <w:t xml:space="preserve"> </w:t>
      </w:r>
      <w:proofErr w:type="spellStart"/>
      <w:r>
        <w:rPr>
          <w:w w:val="34"/>
          <w:rtl/>
        </w:rPr>
        <w:t>ب</w:t>
      </w:r>
      <w:r>
        <w:rPr>
          <w:spacing w:val="-3"/>
          <w:w w:val="111"/>
          <w:rtl/>
        </w:rPr>
        <w:t>ا</w:t>
      </w:r>
      <w:proofErr w:type="spellEnd"/>
      <w:r>
        <w:rPr>
          <w:spacing w:val="-7"/>
          <w:rtl/>
        </w:rPr>
        <w:t xml:space="preserve"> </w:t>
      </w:r>
      <w:proofErr w:type="spellStart"/>
      <w:r>
        <w:rPr>
          <w:w w:val="90"/>
          <w:rtl/>
        </w:rPr>
        <w:t>ش</w:t>
      </w:r>
      <w:r>
        <w:rPr>
          <w:spacing w:val="-1"/>
          <w:w w:val="90"/>
          <w:rtl/>
        </w:rPr>
        <w:t>ماره</w:t>
      </w:r>
      <w:proofErr w:type="spellEnd"/>
    </w:p>
    <w:p w14:paraId="7EC0F92D" w14:textId="77777777" w:rsidR="00AB3ABB" w:rsidRDefault="0017742F">
      <w:pPr>
        <w:pStyle w:val="BodyText"/>
        <w:bidi/>
        <w:spacing w:before="19"/>
        <w:ind w:left="115"/>
        <w:jc w:val="left"/>
      </w:pPr>
      <w:proofErr w:type="spellStart"/>
      <w:r>
        <w:rPr>
          <w:rtl/>
        </w:rPr>
        <w:t>ز</w:t>
      </w:r>
      <w:r>
        <w:rPr>
          <w:spacing w:val="1"/>
          <w:w w:val="38"/>
          <w:rtl/>
        </w:rPr>
        <w:t>ی</w:t>
      </w:r>
      <w:r>
        <w:rPr>
          <w:spacing w:val="-3"/>
          <w:rtl/>
        </w:rPr>
        <w:t>ر</w:t>
      </w:r>
      <w:proofErr w:type="spellEnd"/>
      <w:r>
        <w:rPr>
          <w:spacing w:val="2"/>
          <w:rtl/>
        </w:rPr>
        <w:t xml:space="preserve"> </w:t>
      </w:r>
      <w:proofErr w:type="spellStart"/>
      <w:r>
        <w:rPr>
          <w:w w:val="34"/>
          <w:rtl/>
        </w:rPr>
        <w:t>ت</w:t>
      </w:r>
      <w:r>
        <w:rPr>
          <w:spacing w:val="-4"/>
          <w:w w:val="114"/>
          <w:rtl/>
        </w:rPr>
        <w:t>م</w:t>
      </w:r>
      <w:r>
        <w:rPr>
          <w:spacing w:val="-1"/>
          <w:w w:val="114"/>
          <w:rtl/>
        </w:rPr>
        <w:t>ا</w:t>
      </w:r>
      <w:r>
        <w:rPr>
          <w:rtl/>
        </w:rPr>
        <w:t>س</w:t>
      </w:r>
      <w:proofErr w:type="spellEnd"/>
      <w:r>
        <w:rPr>
          <w:spacing w:val="2"/>
          <w:rtl/>
        </w:rPr>
        <w:t xml:space="preserve"> </w:t>
      </w:r>
      <w:proofErr w:type="spellStart"/>
      <w:r>
        <w:rPr>
          <w:w w:val="34"/>
          <w:rtl/>
        </w:rPr>
        <w:t>ب</w:t>
      </w:r>
      <w:r>
        <w:rPr>
          <w:spacing w:val="-4"/>
          <w:w w:val="63"/>
          <w:rtl/>
        </w:rPr>
        <w:t>گ</w:t>
      </w:r>
      <w:r>
        <w:rPr>
          <w:spacing w:val="1"/>
          <w:w w:val="38"/>
          <w:rtl/>
        </w:rPr>
        <w:t>ی</w:t>
      </w:r>
      <w:r>
        <w:rPr>
          <w:spacing w:val="-3"/>
          <w:rtl/>
        </w:rPr>
        <w:t>ر</w:t>
      </w:r>
      <w:r>
        <w:rPr>
          <w:spacing w:val="1"/>
          <w:w w:val="38"/>
          <w:rtl/>
        </w:rPr>
        <w:t>ی</w:t>
      </w:r>
      <w:r>
        <w:rPr>
          <w:spacing w:val="-3"/>
          <w:rtl/>
        </w:rPr>
        <w:t>د</w:t>
      </w:r>
      <w:proofErr w:type="spellEnd"/>
      <w:r>
        <w:t>.</w:t>
      </w:r>
    </w:p>
    <w:p w14:paraId="4C24216B" w14:textId="77777777" w:rsidR="00AB3ABB" w:rsidRDefault="0017742F">
      <w:pPr>
        <w:pStyle w:val="BodyText"/>
        <w:spacing w:before="179"/>
        <w:jc w:val="left"/>
      </w:pPr>
      <w:r>
        <w:t>Hindi:</w:t>
      </w:r>
    </w:p>
    <w:p w14:paraId="2122D945" w14:textId="77777777" w:rsidR="00AB3ABB" w:rsidRDefault="0017742F">
      <w:pPr>
        <w:pStyle w:val="BodyText"/>
        <w:spacing w:before="179" w:line="259" w:lineRule="auto"/>
        <w:ind w:right="56"/>
        <w:jc w:val="left"/>
        <w:rPr>
          <w:rFonts w:ascii="Nirmala UI" w:eastAsia="Nirmala UI" w:hAnsi="Nirmala UI" w:cs="Nirmala UI"/>
        </w:rPr>
      </w:pPr>
      <w:proofErr w:type="spellStart"/>
      <w:r>
        <w:rPr>
          <w:rFonts w:ascii="Nirmala UI" w:eastAsia="Nirmala UI" w:hAnsi="Nirmala UI" w:cs="Nirmala UI"/>
          <w:spacing w:val="-1"/>
        </w:rPr>
        <w:t>यद</w:t>
      </w:r>
      <w:r>
        <w:rPr>
          <w:rFonts w:ascii="Nirmala UI" w:eastAsia="Nirmala UI" w:hAnsi="Nirmala UI" w:cs="Nirmala UI"/>
        </w:rPr>
        <w:t>ि</w:t>
      </w:r>
      <w:proofErr w:type="spellEnd"/>
      <w:r>
        <w:rPr>
          <w:rFonts w:ascii="Nirmala UI" w:eastAsia="Nirmala UI" w:hAnsi="Nirmala UI" w:cs="Nirmala UI"/>
        </w:rPr>
        <w:t xml:space="preserve"> </w:t>
      </w:r>
      <w:proofErr w:type="spellStart"/>
      <w:r>
        <w:rPr>
          <w:rFonts w:ascii="Nirmala UI" w:eastAsia="Nirmala UI" w:hAnsi="Nirmala UI" w:cs="Nirmala UI"/>
          <w:spacing w:val="-1"/>
        </w:rPr>
        <w:t>आ</w:t>
      </w:r>
      <w:r>
        <w:rPr>
          <w:rFonts w:ascii="Nirmala UI" w:eastAsia="Nirmala UI" w:hAnsi="Nirmala UI" w:cs="Nirmala UI"/>
        </w:rPr>
        <w:t>प</w:t>
      </w:r>
      <w:proofErr w:type="spellEnd"/>
      <w:r>
        <w:rPr>
          <w:rFonts w:ascii="Nirmala UI" w:eastAsia="Nirmala UI" w:hAnsi="Nirmala UI" w:cs="Nirmala UI"/>
        </w:rPr>
        <w:t xml:space="preserve"> </w:t>
      </w:r>
      <w:proofErr w:type="spellStart"/>
      <w:r>
        <w:rPr>
          <w:rFonts w:ascii="Nirmala UI" w:eastAsia="Nirmala UI" w:hAnsi="Nirmala UI" w:cs="Nirmala UI"/>
          <w:spacing w:val="-1"/>
        </w:rPr>
        <w:t>इ</w:t>
      </w:r>
      <w:r>
        <w:rPr>
          <w:rFonts w:ascii="Nirmala UI" w:eastAsia="Nirmala UI" w:hAnsi="Nirmala UI" w:cs="Nirmala UI"/>
        </w:rPr>
        <w:t>स</w:t>
      </w:r>
      <w:proofErr w:type="spellEnd"/>
      <w:r>
        <w:rPr>
          <w:rFonts w:ascii="Nirmala UI" w:eastAsia="Nirmala UI" w:hAnsi="Nirmala UI" w:cs="Nirmala UI"/>
        </w:rPr>
        <w:t xml:space="preserve"> </w:t>
      </w:r>
      <w:proofErr w:type="spellStart"/>
      <w:r>
        <w:rPr>
          <w:rFonts w:ascii="Nirmala UI" w:eastAsia="Nirmala UI" w:hAnsi="Nirmala UI" w:cs="Nirmala UI"/>
          <w:spacing w:val="-6"/>
        </w:rPr>
        <w:t>स</w:t>
      </w:r>
      <w:r>
        <w:rPr>
          <w:rFonts w:ascii="Nirmala UI" w:eastAsia="Nirmala UI" w:hAnsi="Nirmala UI" w:cs="Nirmala UI"/>
          <w:spacing w:val="4"/>
        </w:rPr>
        <w:t>ू</w:t>
      </w:r>
      <w:r>
        <w:rPr>
          <w:rFonts w:ascii="Nirmala UI" w:eastAsia="Nirmala UI" w:hAnsi="Nirmala UI" w:cs="Nirmala UI"/>
          <w:spacing w:val="-1"/>
        </w:rPr>
        <w:t>च</w:t>
      </w:r>
      <w:r>
        <w:rPr>
          <w:rFonts w:ascii="Nirmala UI" w:eastAsia="Nirmala UI" w:hAnsi="Nirmala UI" w:cs="Nirmala UI"/>
          <w:spacing w:val="-3"/>
        </w:rPr>
        <w:t>न</w:t>
      </w:r>
      <w:r>
        <w:rPr>
          <w:rFonts w:ascii="Nirmala UI" w:eastAsia="Nirmala UI" w:hAnsi="Nirmala UI" w:cs="Nirmala UI"/>
        </w:rPr>
        <w:t>ा</w:t>
      </w:r>
      <w:proofErr w:type="spellEnd"/>
      <w:r>
        <w:rPr>
          <w:rFonts w:ascii="Nirmala UI" w:eastAsia="Nirmala UI" w:hAnsi="Nirmala UI" w:cs="Nirmala UI"/>
        </w:rPr>
        <w:t xml:space="preserve"> </w:t>
      </w:r>
      <w:proofErr w:type="spellStart"/>
      <w:r>
        <w:rPr>
          <w:rFonts w:ascii="Nirmala UI" w:eastAsia="Nirmala UI" w:hAnsi="Nirmala UI" w:cs="Nirmala UI"/>
          <w:spacing w:val="-2"/>
        </w:rPr>
        <w:t>क</w:t>
      </w:r>
      <w:r>
        <w:rPr>
          <w:rFonts w:ascii="Nirmala UI" w:eastAsia="Nirmala UI" w:hAnsi="Nirmala UI" w:cs="Nirmala UI"/>
        </w:rPr>
        <w:t>ा</w:t>
      </w:r>
      <w:proofErr w:type="spellEnd"/>
      <w:r>
        <w:rPr>
          <w:rFonts w:ascii="Nirmala UI" w:eastAsia="Nirmala UI" w:hAnsi="Nirmala UI" w:cs="Nirmala UI"/>
        </w:rPr>
        <w:t xml:space="preserve"> </w:t>
      </w:r>
      <w:proofErr w:type="spellStart"/>
      <w:r>
        <w:rPr>
          <w:rFonts w:ascii="Nirmala UI" w:eastAsia="Nirmala UI" w:hAnsi="Nirmala UI" w:cs="Nirmala UI"/>
          <w:spacing w:val="-3"/>
        </w:rPr>
        <w:t>स</w:t>
      </w:r>
      <w:r>
        <w:rPr>
          <w:rFonts w:ascii="Nirmala UI" w:eastAsia="Nirmala UI" w:hAnsi="Nirmala UI" w:cs="Nirmala UI"/>
        </w:rPr>
        <w:t>ार</w:t>
      </w:r>
      <w:r>
        <w:rPr>
          <w:rFonts w:ascii="Nirmala UI" w:eastAsia="Nirmala UI" w:hAnsi="Nirmala UI" w:cs="Nirmala UI"/>
          <w:spacing w:val="-7"/>
        </w:rPr>
        <w:t>ा</w:t>
      </w:r>
      <w:r>
        <w:rPr>
          <w:rFonts w:ascii="Nirmala UI" w:eastAsia="Nirmala UI" w:hAnsi="Nirmala UI" w:cs="Nirmala UI"/>
        </w:rPr>
        <w:t>ा</w:t>
      </w:r>
      <w:r>
        <w:rPr>
          <w:rFonts w:ascii="Nirmala UI" w:eastAsia="Nirmala UI" w:hAnsi="Nirmala UI" w:cs="Nirmala UI"/>
          <w:spacing w:val="4"/>
        </w:rPr>
        <w:t>ं</w:t>
      </w:r>
      <w:r>
        <w:rPr>
          <w:rFonts w:ascii="Nirmala UI" w:eastAsia="Nirmala UI" w:hAnsi="Nirmala UI" w:cs="Nirmala UI"/>
        </w:rPr>
        <w:t>श</w:t>
      </w:r>
      <w:proofErr w:type="spellEnd"/>
      <w:r>
        <w:rPr>
          <w:rFonts w:ascii="Nirmala UI" w:eastAsia="Nirmala UI" w:hAnsi="Nirmala UI" w:cs="Nirmala UI"/>
        </w:rPr>
        <w:t xml:space="preserve"> </w:t>
      </w:r>
      <w:proofErr w:type="spellStart"/>
      <w:r>
        <w:rPr>
          <w:rFonts w:ascii="Nirmala UI" w:eastAsia="Nirmala UI" w:hAnsi="Nirmala UI" w:cs="Nirmala UI"/>
          <w:w w:val="75"/>
        </w:rPr>
        <w:t>द</w:t>
      </w:r>
      <w:r>
        <w:rPr>
          <w:rFonts w:ascii="Nirmala UI" w:eastAsia="Nirmala UI" w:hAnsi="Nirmala UI" w:cs="Nirmala UI"/>
          <w:spacing w:val="-1"/>
          <w:w w:val="75"/>
        </w:rPr>
        <w:t>क</w:t>
      </w:r>
      <w:r>
        <w:rPr>
          <w:rFonts w:ascii="Nirmala UI" w:eastAsia="Nirmala UI" w:hAnsi="Nirmala UI" w:cs="Nirmala UI"/>
          <w:spacing w:val="-1"/>
        </w:rPr>
        <w:t>स</w:t>
      </w:r>
      <w:r>
        <w:rPr>
          <w:rFonts w:ascii="Nirmala UI" w:eastAsia="Nirmala UI" w:hAnsi="Nirmala UI" w:cs="Nirmala UI"/>
        </w:rPr>
        <w:t>ी</w:t>
      </w:r>
      <w:proofErr w:type="spellEnd"/>
      <w:r>
        <w:rPr>
          <w:rFonts w:ascii="Nirmala UI" w:eastAsia="Nirmala UI" w:hAnsi="Nirmala UI" w:cs="Nirmala UI"/>
        </w:rPr>
        <w:t xml:space="preserve"> </w:t>
      </w:r>
      <w:proofErr w:type="spellStart"/>
      <w:r>
        <w:rPr>
          <w:rFonts w:ascii="Nirmala UI" w:eastAsia="Nirmala UI" w:hAnsi="Nirmala UI" w:cs="Nirmala UI"/>
          <w:spacing w:val="-4"/>
        </w:rPr>
        <w:t>अ</w:t>
      </w:r>
      <w:r>
        <w:rPr>
          <w:rFonts w:ascii="Nirmala UI" w:eastAsia="Nirmala UI" w:hAnsi="Nirmala UI" w:cs="Nirmala UI"/>
          <w:w w:val="45"/>
        </w:rPr>
        <w:t>न्</w:t>
      </w:r>
      <w:r>
        <w:rPr>
          <w:rFonts w:ascii="Nirmala UI" w:eastAsia="Nirmala UI" w:hAnsi="Nirmala UI" w:cs="Nirmala UI"/>
        </w:rPr>
        <w:t>य</w:t>
      </w:r>
      <w:proofErr w:type="spellEnd"/>
      <w:r>
        <w:rPr>
          <w:rFonts w:ascii="Nirmala UI" w:eastAsia="Nirmala UI" w:hAnsi="Nirmala UI" w:cs="Nirmala UI"/>
        </w:rPr>
        <w:t xml:space="preserve"> </w:t>
      </w:r>
      <w:proofErr w:type="spellStart"/>
      <w:r>
        <w:rPr>
          <w:rFonts w:ascii="Nirmala UI" w:eastAsia="Nirmala UI" w:hAnsi="Nirmala UI" w:cs="Nirmala UI"/>
        </w:rPr>
        <w:t>भ</w:t>
      </w:r>
      <w:r>
        <w:rPr>
          <w:rFonts w:ascii="Nirmala UI" w:eastAsia="Nirmala UI" w:hAnsi="Nirmala UI" w:cs="Nirmala UI"/>
          <w:spacing w:val="-3"/>
        </w:rPr>
        <w:t>ा</w:t>
      </w:r>
      <w:r>
        <w:rPr>
          <w:rFonts w:ascii="Nirmala UI" w:eastAsia="Nirmala UI" w:hAnsi="Nirmala UI" w:cs="Nirmala UI"/>
          <w:spacing w:val="-1"/>
        </w:rPr>
        <w:t>ष</w:t>
      </w:r>
      <w:r>
        <w:rPr>
          <w:rFonts w:ascii="Nirmala UI" w:eastAsia="Nirmala UI" w:hAnsi="Nirmala UI" w:cs="Nirmala UI"/>
        </w:rPr>
        <w:t>ा</w:t>
      </w:r>
      <w:proofErr w:type="spellEnd"/>
      <w:r>
        <w:rPr>
          <w:rFonts w:ascii="Nirmala UI" w:eastAsia="Nirmala UI" w:hAnsi="Nirmala UI" w:cs="Nirmala UI"/>
        </w:rPr>
        <w:t xml:space="preserve"> </w:t>
      </w:r>
      <w:proofErr w:type="spellStart"/>
      <w:r>
        <w:rPr>
          <w:rFonts w:ascii="Nirmala UI" w:eastAsia="Nirmala UI" w:hAnsi="Nirmala UI" w:cs="Nirmala UI"/>
          <w:spacing w:val="-3"/>
        </w:rPr>
        <w:t>य</w:t>
      </w:r>
      <w:r>
        <w:rPr>
          <w:rFonts w:ascii="Nirmala UI" w:eastAsia="Nirmala UI" w:hAnsi="Nirmala UI" w:cs="Nirmala UI"/>
        </w:rPr>
        <w:t>ा</w:t>
      </w:r>
      <w:proofErr w:type="spellEnd"/>
      <w:r>
        <w:rPr>
          <w:rFonts w:ascii="Nirmala UI" w:eastAsia="Nirmala UI" w:hAnsi="Nirmala UI" w:cs="Nirmala UI"/>
        </w:rPr>
        <w:t xml:space="preserve"> </w:t>
      </w:r>
      <w:proofErr w:type="spellStart"/>
      <w:r>
        <w:rPr>
          <w:rFonts w:ascii="Nirmala UI" w:eastAsia="Nirmala UI" w:hAnsi="Nirmala UI" w:cs="Nirmala UI"/>
          <w:w w:val="59"/>
        </w:rPr>
        <w:t>स्</w:t>
      </w:r>
      <w:r>
        <w:rPr>
          <w:rFonts w:ascii="Nirmala UI" w:eastAsia="Nirmala UI" w:hAnsi="Nirmala UI" w:cs="Nirmala UI"/>
          <w:spacing w:val="-3"/>
        </w:rPr>
        <w:t>व</w:t>
      </w:r>
      <w:r>
        <w:rPr>
          <w:rFonts w:ascii="Nirmala UI" w:eastAsia="Nirmala UI" w:hAnsi="Nirmala UI" w:cs="Nirmala UI"/>
          <w:spacing w:val="-2"/>
          <w:w w:val="200"/>
        </w:rPr>
        <w:t>रू</w:t>
      </w:r>
      <w:r>
        <w:rPr>
          <w:rFonts w:ascii="Nirmala UI" w:eastAsia="Nirmala UI" w:hAnsi="Nirmala UI" w:cs="Nirmala UI"/>
        </w:rPr>
        <w:t>प</w:t>
      </w:r>
      <w:proofErr w:type="spellEnd"/>
      <w:r>
        <w:rPr>
          <w:rFonts w:ascii="Nirmala UI" w:eastAsia="Nirmala UI" w:hAnsi="Nirmala UI" w:cs="Nirmala UI"/>
        </w:rPr>
        <w:t xml:space="preserve"> </w:t>
      </w:r>
      <w:proofErr w:type="spellStart"/>
      <w:r>
        <w:rPr>
          <w:rFonts w:ascii="Nirmala UI" w:eastAsia="Nirmala UI" w:hAnsi="Nirmala UI" w:cs="Nirmala UI"/>
          <w:spacing w:val="-10"/>
        </w:rPr>
        <w:t>म</w:t>
      </w:r>
      <w:r>
        <w:rPr>
          <w:rFonts w:ascii="Nirmala UI" w:eastAsia="Nirmala UI" w:hAnsi="Nirmala UI" w:cs="Nirmala UI"/>
          <w:spacing w:val="-3"/>
        </w:rPr>
        <w:t>े</w:t>
      </w:r>
      <w:r>
        <w:rPr>
          <w:rFonts w:ascii="Nirmala UI" w:eastAsia="Nirmala UI" w:hAnsi="Nirmala UI" w:cs="Nirmala UI"/>
          <w:spacing w:val="2"/>
        </w:rPr>
        <w:t>ं</w:t>
      </w:r>
      <w:proofErr w:type="spellEnd"/>
      <w:r>
        <w:t xml:space="preserve">, </w:t>
      </w:r>
      <w:proofErr w:type="spellStart"/>
      <w:r>
        <w:rPr>
          <w:rFonts w:ascii="Nirmala UI" w:eastAsia="Nirmala UI" w:hAnsi="Nirmala UI" w:cs="Nirmala UI"/>
          <w:spacing w:val="-5"/>
        </w:rPr>
        <w:t>ज</w:t>
      </w:r>
      <w:r>
        <w:rPr>
          <w:rFonts w:ascii="Nirmala UI" w:eastAsia="Nirmala UI" w:hAnsi="Nirmala UI" w:cs="Nirmala UI"/>
          <w:spacing w:val="4"/>
        </w:rPr>
        <w:t>ै</w:t>
      </w:r>
      <w:r>
        <w:rPr>
          <w:rFonts w:ascii="Nirmala UI" w:eastAsia="Nirmala UI" w:hAnsi="Nirmala UI" w:cs="Nirmala UI"/>
          <w:spacing w:val="-6"/>
        </w:rPr>
        <w:t>स</w:t>
      </w:r>
      <w:r>
        <w:rPr>
          <w:rFonts w:ascii="Nirmala UI" w:eastAsia="Nirmala UI" w:hAnsi="Nirmala UI" w:cs="Nirmala UI"/>
        </w:rPr>
        <w:t>े</w:t>
      </w:r>
      <w:proofErr w:type="spellEnd"/>
      <w:r>
        <w:rPr>
          <w:rFonts w:ascii="Nirmala UI" w:eastAsia="Nirmala UI" w:hAnsi="Nirmala UI" w:cs="Nirmala UI"/>
        </w:rPr>
        <w:t xml:space="preserve"> </w:t>
      </w:r>
      <w:proofErr w:type="spellStart"/>
      <w:r>
        <w:rPr>
          <w:rFonts w:ascii="Nirmala UI" w:eastAsia="Nirmala UI" w:hAnsi="Nirmala UI" w:cs="Nirmala UI"/>
          <w:w w:val="56"/>
        </w:rPr>
        <w:t>ब्</w:t>
      </w:r>
      <w:r>
        <w:rPr>
          <w:rFonts w:ascii="Nirmala UI" w:eastAsia="Nirmala UI" w:hAnsi="Nirmala UI" w:cs="Nirmala UI"/>
          <w:spacing w:val="-6"/>
          <w:w w:val="56"/>
        </w:rPr>
        <w:t>र</w:t>
      </w:r>
      <w:r>
        <w:rPr>
          <w:rFonts w:ascii="Nirmala UI" w:eastAsia="Nirmala UI" w:hAnsi="Nirmala UI" w:cs="Nirmala UI"/>
          <w:spacing w:val="2"/>
        </w:rPr>
        <w:t>े</w:t>
      </w:r>
      <w:r>
        <w:rPr>
          <w:rFonts w:ascii="Nirmala UI" w:eastAsia="Nirmala UI" w:hAnsi="Nirmala UI" w:cs="Nirmala UI"/>
        </w:rPr>
        <w:t>ल</w:t>
      </w:r>
      <w:proofErr w:type="spellEnd"/>
      <w:r>
        <w:t xml:space="preserve">, </w:t>
      </w:r>
      <w:proofErr w:type="spellStart"/>
      <w:r>
        <w:rPr>
          <w:rFonts w:ascii="Nirmala UI" w:eastAsia="Nirmala UI" w:hAnsi="Nirmala UI" w:cs="Nirmala UI"/>
          <w:spacing w:val="-4"/>
        </w:rPr>
        <w:t>ट</w:t>
      </w:r>
      <w:r>
        <w:rPr>
          <w:rFonts w:ascii="Nirmala UI" w:eastAsia="Nirmala UI" w:hAnsi="Nirmala UI" w:cs="Nirmala UI"/>
          <w:w w:val="59"/>
        </w:rPr>
        <w:t>ाद</w:t>
      </w:r>
      <w:r>
        <w:rPr>
          <w:rFonts w:ascii="Nirmala UI" w:eastAsia="Nirmala UI" w:hAnsi="Nirmala UI" w:cs="Nirmala UI"/>
          <w:spacing w:val="-76"/>
        </w:rPr>
        <w:t>क</w:t>
      </w:r>
      <w:r>
        <w:rPr>
          <w:rFonts w:ascii="Nirmala UI" w:eastAsia="Nirmala UI" w:hAnsi="Nirmala UI" w:cs="Nirmala UI"/>
        </w:rPr>
        <w:t>ां</w:t>
      </w:r>
      <w:proofErr w:type="spellEnd"/>
      <w:r>
        <w:rPr>
          <w:rFonts w:ascii="Nirmala UI" w:eastAsia="Nirmala UI" w:hAnsi="Nirmala UI" w:cs="Nirmala UI"/>
        </w:rPr>
        <w:t xml:space="preserve"> ग </w:t>
      </w:r>
      <w:proofErr w:type="spellStart"/>
      <w:r>
        <w:rPr>
          <w:rFonts w:ascii="Nirmala UI" w:eastAsia="Nirmala UI" w:hAnsi="Nirmala UI" w:cs="Nirmala UI"/>
          <w:spacing w:val="-13"/>
        </w:rPr>
        <w:t>ट</w:t>
      </w:r>
      <w:r>
        <w:rPr>
          <w:rFonts w:ascii="Nirmala UI" w:eastAsia="Nirmala UI" w:hAnsi="Nirmala UI" w:cs="Nirmala UI"/>
          <w:spacing w:val="11"/>
        </w:rPr>
        <w:t>े</w:t>
      </w:r>
      <w:r>
        <w:rPr>
          <w:rFonts w:ascii="Nirmala UI" w:eastAsia="Nirmala UI" w:hAnsi="Nirmala UI" w:cs="Nirmala UI"/>
        </w:rPr>
        <w:t>प</w:t>
      </w:r>
      <w:proofErr w:type="spellEnd"/>
      <w:r>
        <w:rPr>
          <w:rFonts w:ascii="Nirmala UI" w:eastAsia="Nirmala UI" w:hAnsi="Nirmala UI" w:cs="Nirmala UI"/>
        </w:rPr>
        <w:t xml:space="preserve"> </w:t>
      </w:r>
      <w:proofErr w:type="spellStart"/>
      <w:r>
        <w:rPr>
          <w:rFonts w:ascii="Nirmala UI" w:eastAsia="Nirmala UI" w:hAnsi="Nirmala UI" w:cs="Nirmala UI"/>
          <w:spacing w:val="-1"/>
        </w:rPr>
        <w:t>य</w:t>
      </w:r>
      <w:r>
        <w:rPr>
          <w:rFonts w:ascii="Nirmala UI" w:eastAsia="Nirmala UI" w:hAnsi="Nirmala UI" w:cs="Nirmala UI"/>
        </w:rPr>
        <w:t>ा</w:t>
      </w:r>
      <w:proofErr w:type="spellEnd"/>
      <w:r>
        <w:rPr>
          <w:rFonts w:ascii="Nirmala UI" w:eastAsia="Nirmala UI" w:hAnsi="Nirmala UI" w:cs="Nirmala UI"/>
        </w:rPr>
        <w:t xml:space="preserve"> </w:t>
      </w:r>
      <w:r>
        <w:rPr>
          <w:spacing w:val="-2"/>
        </w:rPr>
        <w:t>DV</w:t>
      </w:r>
      <w:r>
        <w:t xml:space="preserve">D </w:t>
      </w:r>
      <w:proofErr w:type="spellStart"/>
      <w:r>
        <w:rPr>
          <w:rFonts w:ascii="Nirmala UI" w:eastAsia="Nirmala UI" w:hAnsi="Nirmala UI" w:cs="Nirmala UI"/>
          <w:spacing w:val="-10"/>
        </w:rPr>
        <w:t>म</w:t>
      </w:r>
      <w:r>
        <w:rPr>
          <w:rFonts w:ascii="Nirmala UI" w:eastAsia="Nirmala UI" w:hAnsi="Nirmala UI" w:cs="Nirmala UI"/>
          <w:spacing w:val="-3"/>
        </w:rPr>
        <w:t>े</w:t>
      </w:r>
      <w:r>
        <w:rPr>
          <w:rFonts w:ascii="Nirmala UI" w:eastAsia="Nirmala UI" w:hAnsi="Nirmala UI" w:cs="Nirmala UI"/>
        </w:rPr>
        <w:t>ं</w:t>
      </w:r>
      <w:proofErr w:type="spellEnd"/>
      <w:r>
        <w:rPr>
          <w:rFonts w:ascii="Nirmala UI" w:eastAsia="Nirmala UI" w:hAnsi="Nirmala UI" w:cs="Nirmala UI"/>
        </w:rPr>
        <w:t xml:space="preserve"> </w:t>
      </w:r>
      <w:proofErr w:type="spellStart"/>
      <w:r>
        <w:rPr>
          <w:rFonts w:ascii="Nirmala UI" w:eastAsia="Nirmala UI" w:hAnsi="Nirmala UI" w:cs="Nirmala UI"/>
          <w:spacing w:val="-1"/>
        </w:rPr>
        <w:t>चा</w:t>
      </w:r>
      <w:r>
        <w:rPr>
          <w:rFonts w:ascii="Nirmala UI" w:eastAsia="Nirmala UI" w:hAnsi="Nirmala UI" w:cs="Nirmala UI"/>
          <w:spacing w:val="-2"/>
        </w:rPr>
        <w:t>ह</w:t>
      </w:r>
      <w:r>
        <w:rPr>
          <w:rFonts w:ascii="Nirmala UI" w:eastAsia="Nirmala UI" w:hAnsi="Nirmala UI" w:cs="Nirmala UI"/>
          <w:spacing w:val="-6"/>
        </w:rPr>
        <w:t>त</w:t>
      </w:r>
      <w:r>
        <w:rPr>
          <w:rFonts w:ascii="Nirmala UI" w:eastAsia="Nirmala UI" w:hAnsi="Nirmala UI" w:cs="Nirmala UI"/>
        </w:rPr>
        <w:t>े</w:t>
      </w:r>
      <w:proofErr w:type="spellEnd"/>
      <w:r>
        <w:rPr>
          <w:rFonts w:ascii="Nirmala UI" w:eastAsia="Nirmala UI" w:hAnsi="Nirmala UI" w:cs="Nirmala UI"/>
        </w:rPr>
        <w:t xml:space="preserve"> </w:t>
      </w:r>
      <w:proofErr w:type="gramStart"/>
      <w:r>
        <w:rPr>
          <w:rFonts w:ascii="Nirmala UI" w:eastAsia="Nirmala UI" w:hAnsi="Nirmala UI" w:cs="Nirmala UI"/>
          <w:spacing w:val="-1"/>
        </w:rPr>
        <w:t>ह</w:t>
      </w:r>
      <w:r>
        <w:rPr>
          <w:rFonts w:ascii="Nirmala UI" w:eastAsia="Nirmala UI" w:hAnsi="Nirmala UI" w:cs="Nirmala UI"/>
          <w:spacing w:val="-1"/>
          <w:w w:val="95"/>
        </w:rPr>
        <w:t xml:space="preserve"> </w:t>
      </w:r>
      <w:r>
        <w:t>,</w:t>
      </w:r>
      <w:proofErr w:type="gramEnd"/>
      <w:r>
        <w:t xml:space="preserve"> </w:t>
      </w:r>
      <w:r>
        <w:rPr>
          <w:rFonts w:ascii="Nirmala UI" w:eastAsia="Nirmala UI" w:hAnsi="Nirmala UI" w:cs="Nirmala UI"/>
          <w:spacing w:val="-23"/>
          <w:w w:val="98"/>
        </w:rPr>
        <w:t>त</w:t>
      </w:r>
      <w:r>
        <w:rPr>
          <w:rFonts w:ascii="Nirmala UI" w:eastAsia="Nirmala UI" w:hAnsi="Nirmala UI" w:cs="Nirmala UI"/>
          <w:spacing w:val="-1"/>
          <w:w w:val="98"/>
        </w:rPr>
        <w:t xml:space="preserve"> </w:t>
      </w:r>
      <w:proofErr w:type="spellStart"/>
      <w:r>
        <w:rPr>
          <w:rFonts w:ascii="Nirmala UI" w:eastAsia="Nirmala UI" w:hAnsi="Nirmala UI" w:cs="Nirmala UI"/>
          <w:spacing w:val="-38"/>
        </w:rPr>
        <w:t>कृ</w:t>
      </w:r>
      <w:proofErr w:type="spellEnd"/>
      <w:r>
        <w:rPr>
          <w:rFonts w:ascii="Nirmala UI" w:eastAsia="Nirmala UI" w:hAnsi="Nirmala UI" w:cs="Nirmala UI"/>
          <w:spacing w:val="-38"/>
        </w:rPr>
        <w:t xml:space="preserve"> </w:t>
      </w:r>
      <w:proofErr w:type="spellStart"/>
      <w:r>
        <w:rPr>
          <w:rFonts w:ascii="Nirmala UI" w:eastAsia="Nirmala UI" w:hAnsi="Nirmala UI" w:cs="Nirmala UI"/>
        </w:rPr>
        <w:t>पया</w:t>
      </w:r>
      <w:proofErr w:type="spellEnd"/>
      <w:r>
        <w:rPr>
          <w:rFonts w:ascii="Nirmala UI" w:eastAsia="Nirmala UI" w:hAnsi="Nirmala UI" w:cs="Nirmala UI"/>
        </w:rPr>
        <w:t xml:space="preserve"> </w:t>
      </w:r>
      <w:proofErr w:type="spellStart"/>
      <w:r>
        <w:rPr>
          <w:rFonts w:ascii="Nirmala UI" w:eastAsia="Nirmala UI" w:hAnsi="Nirmala UI" w:cs="Nirmala UI"/>
        </w:rPr>
        <w:t>नीचे</w:t>
      </w:r>
      <w:proofErr w:type="spellEnd"/>
      <w:r>
        <w:rPr>
          <w:rFonts w:ascii="Nirmala UI" w:eastAsia="Nirmala UI" w:hAnsi="Nirmala UI" w:cs="Nirmala UI"/>
        </w:rPr>
        <w:t xml:space="preserve"> </w:t>
      </w:r>
      <w:proofErr w:type="spellStart"/>
      <w:r>
        <w:rPr>
          <w:rFonts w:ascii="Nirmala UI" w:eastAsia="Nirmala UI" w:hAnsi="Nirmala UI" w:cs="Nirmala UI"/>
        </w:rPr>
        <w:t>दिए</w:t>
      </w:r>
      <w:proofErr w:type="spellEnd"/>
      <w:r>
        <w:rPr>
          <w:rFonts w:ascii="Nirmala UI" w:eastAsia="Nirmala UI" w:hAnsi="Nirmala UI" w:cs="Nirmala UI"/>
        </w:rPr>
        <w:t xml:space="preserve"> </w:t>
      </w:r>
      <w:proofErr w:type="spellStart"/>
      <w:r>
        <w:rPr>
          <w:rFonts w:ascii="Nirmala UI" w:eastAsia="Nirmala UI" w:hAnsi="Nirmala UI" w:cs="Nirmala UI"/>
        </w:rPr>
        <w:t>गए</w:t>
      </w:r>
      <w:proofErr w:type="spellEnd"/>
      <w:r>
        <w:rPr>
          <w:rFonts w:ascii="Nirmala UI" w:eastAsia="Nirmala UI" w:hAnsi="Nirmala UI" w:cs="Nirmala UI"/>
        </w:rPr>
        <w:t xml:space="preserve"> </w:t>
      </w:r>
      <w:proofErr w:type="spellStart"/>
      <w:r>
        <w:rPr>
          <w:rFonts w:ascii="Nirmala UI" w:eastAsia="Nirmala UI" w:hAnsi="Nirmala UI" w:cs="Nirmala UI"/>
        </w:rPr>
        <w:t>नांबर</w:t>
      </w:r>
      <w:proofErr w:type="spellEnd"/>
      <w:r>
        <w:rPr>
          <w:rFonts w:ascii="Nirmala UI" w:eastAsia="Nirmala UI" w:hAnsi="Nirmala UI" w:cs="Nirmala UI"/>
        </w:rPr>
        <w:t xml:space="preserve"> </w:t>
      </w:r>
      <w:proofErr w:type="spellStart"/>
      <w:r>
        <w:rPr>
          <w:rFonts w:ascii="Nirmala UI" w:eastAsia="Nirmala UI" w:hAnsi="Nirmala UI" w:cs="Nirmala UI"/>
        </w:rPr>
        <w:t>पर</w:t>
      </w:r>
      <w:proofErr w:type="spellEnd"/>
      <w:r>
        <w:rPr>
          <w:rFonts w:ascii="Nirmala UI" w:eastAsia="Nirmala UI" w:hAnsi="Nirmala UI" w:cs="Nirmala UI"/>
        </w:rPr>
        <w:t xml:space="preserve"> फ न </w:t>
      </w:r>
      <w:proofErr w:type="spellStart"/>
      <w:r>
        <w:rPr>
          <w:rFonts w:ascii="Nirmala UI" w:eastAsia="Nirmala UI" w:hAnsi="Nirmala UI" w:cs="Nirmala UI"/>
          <w:spacing w:val="-7"/>
        </w:rPr>
        <w:t>करें</w:t>
      </w:r>
      <w:proofErr w:type="spellEnd"/>
      <w:r>
        <w:rPr>
          <w:rFonts w:ascii="Nirmala UI" w:eastAsia="Nirmala UI" w:hAnsi="Nirmala UI" w:cs="Nirmala UI"/>
          <w:spacing w:val="-7"/>
        </w:rPr>
        <w:t xml:space="preserve"> </w:t>
      </w:r>
      <w:r>
        <w:rPr>
          <w:rFonts w:ascii="Nirmala UI" w:eastAsia="Nirmala UI" w:hAnsi="Nirmala UI" w:cs="Nirmala UI"/>
        </w:rPr>
        <w:t>।</w:t>
      </w:r>
    </w:p>
    <w:p w14:paraId="50F5E5E9" w14:textId="77777777" w:rsidR="00AB3ABB" w:rsidRDefault="0017742F">
      <w:pPr>
        <w:pStyle w:val="BodyText"/>
        <w:spacing w:before="160"/>
        <w:jc w:val="left"/>
      </w:pPr>
      <w:r>
        <w:t>Kurdish (</w:t>
      </w:r>
      <w:proofErr w:type="spellStart"/>
      <w:r>
        <w:t>Kurmanji</w:t>
      </w:r>
      <w:proofErr w:type="spellEnd"/>
      <w:r>
        <w:t>):</w:t>
      </w:r>
    </w:p>
    <w:p w14:paraId="0481FE2E" w14:textId="77777777" w:rsidR="00AB3ABB" w:rsidRDefault="0017742F">
      <w:pPr>
        <w:pStyle w:val="BodyText"/>
        <w:spacing w:before="183" w:line="254" w:lineRule="auto"/>
        <w:jc w:val="left"/>
      </w:pPr>
      <w:r>
        <w:t xml:space="preserve">Heke </w:t>
      </w:r>
      <w:proofErr w:type="spellStart"/>
      <w:r>
        <w:t>hun</w:t>
      </w:r>
      <w:proofErr w:type="spellEnd"/>
      <w:r>
        <w:t xml:space="preserve"> </w:t>
      </w:r>
      <w:proofErr w:type="spellStart"/>
      <w:r>
        <w:t>vê</w:t>
      </w:r>
      <w:proofErr w:type="spellEnd"/>
      <w:r>
        <w:t xml:space="preserve"> </w:t>
      </w:r>
      <w:proofErr w:type="spellStart"/>
      <w:r>
        <w:t>agahîyê</w:t>
      </w:r>
      <w:proofErr w:type="spellEnd"/>
      <w:r>
        <w:t xml:space="preserve"> bi </w:t>
      </w:r>
      <w:proofErr w:type="spellStart"/>
      <w:r>
        <w:t>kurtî</w:t>
      </w:r>
      <w:proofErr w:type="spellEnd"/>
      <w:r>
        <w:t xml:space="preserve"> bi </w:t>
      </w:r>
      <w:proofErr w:type="spellStart"/>
      <w:r>
        <w:t>zimanekî</w:t>
      </w:r>
      <w:proofErr w:type="spellEnd"/>
      <w:r>
        <w:t xml:space="preserve"> din an </w:t>
      </w:r>
      <w:proofErr w:type="spellStart"/>
      <w:r>
        <w:t>formateke</w:t>
      </w:r>
      <w:proofErr w:type="spellEnd"/>
      <w:r>
        <w:t xml:space="preserve"> din a </w:t>
      </w:r>
      <w:proofErr w:type="spellStart"/>
      <w:r>
        <w:t>wek</w:t>
      </w:r>
      <w:proofErr w:type="spellEnd"/>
      <w:r>
        <w:t xml:space="preserve"> Braille (ji </w:t>
      </w:r>
      <w:proofErr w:type="spellStart"/>
      <w:r>
        <w:t>bo</w:t>
      </w:r>
      <w:proofErr w:type="spellEnd"/>
      <w:r>
        <w:t xml:space="preserve"> </w:t>
      </w:r>
      <w:proofErr w:type="spellStart"/>
      <w:r>
        <w:t>kêmasîya</w:t>
      </w:r>
      <w:proofErr w:type="spellEnd"/>
      <w:r>
        <w:t xml:space="preserve"> </w:t>
      </w:r>
      <w:proofErr w:type="spellStart"/>
      <w:r>
        <w:t>dîtinê</w:t>
      </w:r>
      <w:proofErr w:type="spellEnd"/>
      <w:r>
        <w:t xml:space="preserve">), </w:t>
      </w:r>
      <w:proofErr w:type="spellStart"/>
      <w:r>
        <w:t>teypa</w:t>
      </w:r>
      <w:proofErr w:type="spellEnd"/>
      <w:r>
        <w:t xml:space="preserve"> </w:t>
      </w:r>
      <w:proofErr w:type="spellStart"/>
      <w:r>
        <w:t>axaftinê</w:t>
      </w:r>
      <w:proofErr w:type="spellEnd"/>
      <w:r>
        <w:t xml:space="preserve"> yan </w:t>
      </w:r>
      <w:proofErr w:type="spellStart"/>
      <w:r>
        <w:t>jî</w:t>
      </w:r>
      <w:proofErr w:type="spellEnd"/>
      <w:r>
        <w:t xml:space="preserve"> DVD </w:t>
      </w:r>
      <w:proofErr w:type="spellStart"/>
      <w:r>
        <w:t>dixwazin</w:t>
      </w:r>
      <w:proofErr w:type="spellEnd"/>
      <w:r>
        <w:t xml:space="preserve">, ji </w:t>
      </w:r>
      <w:proofErr w:type="spellStart"/>
      <w:r>
        <w:t>kerema</w:t>
      </w:r>
      <w:proofErr w:type="spellEnd"/>
      <w:r>
        <w:t xml:space="preserve"> </w:t>
      </w:r>
      <w:proofErr w:type="spellStart"/>
      <w:r>
        <w:t>xwe</w:t>
      </w:r>
      <w:proofErr w:type="spellEnd"/>
      <w:r>
        <w:t xml:space="preserve"> </w:t>
      </w:r>
      <w:proofErr w:type="spellStart"/>
      <w:r>
        <w:t>telefonî</w:t>
      </w:r>
      <w:proofErr w:type="spellEnd"/>
      <w:r>
        <w:t xml:space="preserve"> </w:t>
      </w:r>
      <w:proofErr w:type="spellStart"/>
      <w:r>
        <w:t>hejmara</w:t>
      </w:r>
      <w:proofErr w:type="spellEnd"/>
      <w:r>
        <w:t xml:space="preserve"> </w:t>
      </w:r>
      <w:proofErr w:type="spellStart"/>
      <w:r>
        <w:t>jêrîn</w:t>
      </w:r>
      <w:proofErr w:type="spellEnd"/>
      <w:r>
        <w:t xml:space="preserve"> </w:t>
      </w:r>
      <w:proofErr w:type="spellStart"/>
      <w:r>
        <w:t>bikin</w:t>
      </w:r>
      <w:proofErr w:type="spellEnd"/>
      <w:r>
        <w:t>.</w:t>
      </w:r>
    </w:p>
    <w:p w14:paraId="0A00D8B8" w14:textId="77777777" w:rsidR="00AB3ABB" w:rsidRDefault="0017742F">
      <w:pPr>
        <w:pStyle w:val="BodyText"/>
        <w:spacing w:before="168"/>
        <w:jc w:val="left"/>
      </w:pPr>
      <w:r>
        <w:t>Punjabi:</w:t>
      </w:r>
    </w:p>
    <w:p w14:paraId="5D86D28C" w14:textId="77777777" w:rsidR="00AB3ABB" w:rsidRDefault="0017742F">
      <w:pPr>
        <w:pStyle w:val="BodyText"/>
        <w:spacing w:before="136" w:line="256" w:lineRule="auto"/>
        <w:ind w:right="228"/>
        <w:jc w:val="left"/>
        <w:rPr>
          <w:rFonts w:ascii="Nirmala UI" w:eastAsia="Nirmala UI" w:hAnsi="Nirmala UI" w:cs="Nirmala UI"/>
        </w:rPr>
      </w:pPr>
      <w:proofErr w:type="spellStart"/>
      <w:r>
        <w:rPr>
          <w:rFonts w:ascii="Arial Unicode MS" w:eastAsia="Arial Unicode MS" w:hAnsi="Arial Unicode MS" w:cs="Arial Unicode MS" w:hint="eastAsia"/>
          <w:spacing w:val="-1"/>
          <w:w w:val="116"/>
        </w:rPr>
        <w:t>ਜ</w:t>
      </w:r>
      <w:r>
        <w:rPr>
          <w:rFonts w:ascii="Arial Unicode MS" w:eastAsia="Arial Unicode MS" w:hAnsi="Arial Unicode MS" w:cs="Arial Unicode MS" w:hint="eastAsia"/>
          <w:w w:val="116"/>
        </w:rPr>
        <w:t>ੇ</w:t>
      </w:r>
      <w:proofErr w:type="spellEnd"/>
      <w:r>
        <w:rPr>
          <w:rFonts w:ascii="Arial Unicode MS" w:eastAsia="Arial Unicode MS" w:hAnsi="Arial Unicode MS" w:cs="Arial Unicode MS" w:hint="eastAsia"/>
          <w:spacing w:val="7"/>
        </w:rPr>
        <w:t xml:space="preserve"> </w:t>
      </w:r>
      <w:proofErr w:type="spellStart"/>
      <w:r>
        <w:rPr>
          <w:rFonts w:ascii="Arial Unicode MS" w:eastAsia="Arial Unicode MS" w:hAnsi="Arial Unicode MS" w:cs="Arial Unicode MS" w:hint="eastAsia"/>
          <w:w w:val="113"/>
        </w:rPr>
        <w:t>ਤੁਹਾ</w:t>
      </w:r>
      <w:r>
        <w:rPr>
          <w:rFonts w:ascii="Arial Unicode MS" w:eastAsia="Arial Unicode MS" w:hAnsi="Arial Unicode MS" w:cs="Arial Unicode MS" w:hint="eastAsia"/>
          <w:spacing w:val="-80"/>
          <w:w w:val="116"/>
        </w:rPr>
        <w:t>ਨ</w:t>
      </w:r>
      <w:r>
        <w:rPr>
          <w:rFonts w:ascii="Arial Unicode MS" w:eastAsia="Arial Unicode MS" w:hAnsi="Arial Unicode MS" w:cs="Arial Unicode MS" w:hint="eastAsia"/>
        </w:rPr>
        <w:t>ੂੰ</w:t>
      </w:r>
      <w:proofErr w:type="spellEnd"/>
      <w:r>
        <w:rPr>
          <w:rFonts w:ascii="Arial Unicode MS" w:eastAsia="Arial Unicode MS" w:hAnsi="Arial Unicode MS" w:cs="Arial Unicode MS" w:hint="eastAsia"/>
          <w:spacing w:val="15"/>
        </w:rPr>
        <w:t xml:space="preserve"> </w:t>
      </w:r>
      <w:r>
        <w:rPr>
          <w:rFonts w:ascii="Arial Unicode MS" w:eastAsia="Arial Unicode MS" w:hAnsi="Arial Unicode MS" w:cs="Arial Unicode MS" w:hint="eastAsia"/>
        </w:rPr>
        <w:t xml:space="preserve"> </w:t>
      </w:r>
      <w:r>
        <w:rPr>
          <w:rFonts w:ascii="Arial Unicode MS" w:eastAsia="Arial Unicode MS" w:hAnsi="Arial Unicode MS" w:cs="Arial Unicode MS" w:hint="eastAsia"/>
          <w:spacing w:val="8"/>
        </w:rPr>
        <w:t xml:space="preserve"> </w:t>
      </w:r>
      <w:proofErr w:type="spellStart"/>
      <w:r>
        <w:rPr>
          <w:rFonts w:ascii="Arial Unicode MS" w:eastAsia="Arial Unicode MS" w:hAnsi="Arial Unicode MS" w:cs="Arial Unicode MS" w:hint="eastAsia"/>
          <w:w w:val="107"/>
        </w:rPr>
        <w:t>ਇਸ</w:t>
      </w:r>
      <w:proofErr w:type="spellEnd"/>
      <w:r>
        <w:rPr>
          <w:rFonts w:ascii="Arial Unicode MS" w:eastAsia="Arial Unicode MS" w:hAnsi="Arial Unicode MS" w:cs="Arial Unicode MS" w:hint="eastAsia"/>
          <w:spacing w:val="8"/>
        </w:rPr>
        <w:t xml:space="preserve"> </w:t>
      </w:r>
      <w:proofErr w:type="spellStart"/>
      <w:r>
        <w:rPr>
          <w:rFonts w:ascii="Arial Unicode MS" w:eastAsia="Arial Unicode MS" w:hAnsi="Arial Unicode MS" w:cs="Arial Unicode MS" w:hint="eastAsia"/>
          <w:spacing w:val="-1"/>
          <w:w w:val="116"/>
        </w:rPr>
        <w:t>ਜ</w:t>
      </w:r>
      <w:r>
        <w:rPr>
          <w:rFonts w:ascii="Arial Unicode MS" w:eastAsia="Arial Unicode MS" w:hAnsi="Arial Unicode MS" w:cs="Arial Unicode MS" w:hint="eastAsia"/>
          <w:spacing w:val="-3"/>
          <w:w w:val="101"/>
        </w:rPr>
        <w:t>ਾ</w:t>
      </w:r>
      <w:r>
        <w:rPr>
          <w:rFonts w:ascii="Arial Unicode MS" w:eastAsia="Arial Unicode MS" w:hAnsi="Arial Unicode MS" w:cs="Arial Unicode MS" w:hint="eastAsia"/>
          <w:w w:val="96"/>
        </w:rPr>
        <w:t>ਣ</w:t>
      </w:r>
      <w:r>
        <w:rPr>
          <w:rFonts w:ascii="Arial Unicode MS" w:eastAsia="Arial Unicode MS" w:hAnsi="Arial Unicode MS" w:cs="Arial Unicode MS" w:hint="eastAsia"/>
          <w:spacing w:val="-1"/>
          <w:w w:val="112"/>
        </w:rPr>
        <w:t>ਕਾ</w:t>
      </w:r>
      <w:r>
        <w:rPr>
          <w:rFonts w:ascii="Arial Unicode MS" w:eastAsia="Arial Unicode MS" w:hAnsi="Arial Unicode MS" w:cs="Arial Unicode MS" w:hint="eastAsia"/>
          <w:spacing w:val="-2"/>
          <w:w w:val="112"/>
        </w:rPr>
        <w:t>ਰ</w:t>
      </w:r>
      <w:r>
        <w:rPr>
          <w:rFonts w:ascii="Arial Unicode MS" w:eastAsia="Arial Unicode MS" w:hAnsi="Arial Unicode MS" w:cs="Arial Unicode MS" w:hint="eastAsia"/>
          <w:w w:val="101"/>
        </w:rPr>
        <w:t>ੀ</w:t>
      </w:r>
      <w:proofErr w:type="spellEnd"/>
      <w:r>
        <w:rPr>
          <w:rFonts w:ascii="Arial Unicode MS" w:eastAsia="Arial Unicode MS" w:hAnsi="Arial Unicode MS" w:cs="Arial Unicode MS" w:hint="eastAsia"/>
          <w:spacing w:val="6"/>
        </w:rPr>
        <w:t xml:space="preserve"> </w:t>
      </w:r>
      <w:proofErr w:type="spellStart"/>
      <w:r>
        <w:rPr>
          <w:rFonts w:ascii="Arial Unicode MS" w:eastAsia="Arial Unicode MS" w:hAnsi="Arial Unicode MS" w:cs="Arial Unicode MS" w:hint="eastAsia"/>
          <w:w w:val="104"/>
        </w:rPr>
        <w:t>ਦਾ</w:t>
      </w:r>
      <w:proofErr w:type="spellEnd"/>
      <w:r>
        <w:rPr>
          <w:rFonts w:ascii="Arial Unicode MS" w:eastAsia="Arial Unicode MS" w:hAnsi="Arial Unicode MS" w:cs="Arial Unicode MS" w:hint="eastAsia"/>
          <w:spacing w:val="6"/>
        </w:rPr>
        <w:t xml:space="preserve"> </w:t>
      </w:r>
      <w:proofErr w:type="spellStart"/>
      <w:r>
        <w:rPr>
          <w:rFonts w:ascii="Arial Unicode MS" w:eastAsia="Arial Unicode MS" w:hAnsi="Arial Unicode MS" w:cs="Arial Unicode MS" w:hint="eastAsia"/>
          <w:spacing w:val="-1"/>
          <w:w w:val="112"/>
        </w:rPr>
        <w:t>ਸ</w:t>
      </w:r>
      <w:r>
        <w:rPr>
          <w:rFonts w:ascii="Arial Unicode MS" w:eastAsia="Arial Unicode MS" w:hAnsi="Arial Unicode MS" w:cs="Arial Unicode MS" w:hint="eastAsia"/>
          <w:spacing w:val="-3"/>
          <w:w w:val="112"/>
        </w:rPr>
        <w:t>ਾ</w:t>
      </w:r>
      <w:r>
        <w:rPr>
          <w:rFonts w:ascii="Arial Unicode MS" w:eastAsia="Arial Unicode MS" w:hAnsi="Arial Unicode MS" w:cs="Arial Unicode MS" w:hint="eastAsia"/>
          <w:w w:val="119"/>
        </w:rPr>
        <w:t>ਰ</w:t>
      </w:r>
      <w:proofErr w:type="spellEnd"/>
      <w:r>
        <w:rPr>
          <w:rFonts w:ascii="Arial Unicode MS" w:eastAsia="Arial Unicode MS" w:hAnsi="Arial Unicode MS" w:cs="Arial Unicode MS" w:hint="eastAsia"/>
          <w:spacing w:val="8"/>
        </w:rPr>
        <w:t xml:space="preserve"> </w:t>
      </w:r>
      <w:proofErr w:type="spellStart"/>
      <w:r>
        <w:rPr>
          <w:rFonts w:ascii="Arial Unicode MS" w:eastAsia="Arial Unicode MS" w:hAnsi="Arial Unicode MS" w:cs="Arial Unicode MS" w:hint="eastAsia"/>
          <w:w w:val="89"/>
        </w:rPr>
        <w:t>ਕਕਸੇ</w:t>
      </w:r>
      <w:proofErr w:type="spellEnd"/>
      <w:r>
        <w:rPr>
          <w:rFonts w:ascii="Arial Unicode MS" w:eastAsia="Arial Unicode MS" w:hAnsi="Arial Unicode MS" w:cs="Arial Unicode MS" w:hint="eastAsia"/>
          <w:spacing w:val="7"/>
        </w:rPr>
        <w:t xml:space="preserve"> </w:t>
      </w:r>
      <w:proofErr w:type="spellStart"/>
      <w:r>
        <w:rPr>
          <w:rFonts w:ascii="Arial Unicode MS" w:eastAsia="Arial Unicode MS" w:hAnsi="Arial Unicode MS" w:cs="Arial Unicode MS" w:hint="eastAsia"/>
          <w:spacing w:val="-1"/>
          <w:w w:val="117"/>
        </w:rPr>
        <w:t>ਹ</w:t>
      </w:r>
      <w:r>
        <w:rPr>
          <w:rFonts w:ascii="Arial Unicode MS" w:eastAsia="Arial Unicode MS" w:hAnsi="Arial Unicode MS" w:cs="Arial Unicode MS" w:hint="eastAsia"/>
          <w:w w:val="119"/>
        </w:rPr>
        <w:t>ੋਰ</w:t>
      </w:r>
      <w:proofErr w:type="spellEnd"/>
      <w:r>
        <w:rPr>
          <w:rFonts w:ascii="Arial Unicode MS" w:eastAsia="Arial Unicode MS" w:hAnsi="Arial Unicode MS" w:cs="Arial Unicode MS" w:hint="eastAsia"/>
          <w:spacing w:val="5"/>
        </w:rPr>
        <w:t xml:space="preserve"> </w:t>
      </w:r>
      <w:proofErr w:type="spellStart"/>
      <w:r>
        <w:rPr>
          <w:rFonts w:ascii="Arial Unicode MS" w:eastAsia="Arial Unicode MS" w:hAnsi="Arial Unicode MS" w:cs="Arial Unicode MS" w:hint="eastAsia"/>
          <w:w w:val="112"/>
        </w:rPr>
        <w:t>ਭ</w:t>
      </w:r>
      <w:r>
        <w:rPr>
          <w:rFonts w:ascii="Arial Unicode MS" w:eastAsia="Arial Unicode MS" w:hAnsi="Arial Unicode MS" w:cs="Arial Unicode MS" w:hint="eastAsia"/>
          <w:w w:val="110"/>
        </w:rPr>
        <w:t>ਾਸ਼ਾ</w:t>
      </w:r>
      <w:proofErr w:type="spellEnd"/>
      <w:r>
        <w:rPr>
          <w:rFonts w:ascii="Arial Unicode MS" w:eastAsia="Arial Unicode MS" w:hAnsi="Arial Unicode MS" w:cs="Arial Unicode MS" w:hint="eastAsia"/>
          <w:spacing w:val="8"/>
        </w:rPr>
        <w:t xml:space="preserve"> </w:t>
      </w:r>
      <w:proofErr w:type="spellStart"/>
      <w:r>
        <w:rPr>
          <w:rFonts w:ascii="Arial Unicode MS" w:eastAsia="Arial Unicode MS" w:hAnsi="Arial Unicode MS" w:cs="Arial Unicode MS" w:hint="eastAsia"/>
          <w:spacing w:val="-1"/>
          <w:w w:val="116"/>
        </w:rPr>
        <w:t>ਜ</w:t>
      </w:r>
      <w:r>
        <w:rPr>
          <w:rFonts w:ascii="Arial Unicode MS" w:eastAsia="Arial Unicode MS" w:hAnsi="Arial Unicode MS" w:cs="Arial Unicode MS" w:hint="eastAsia"/>
          <w:spacing w:val="-1"/>
          <w:w w:val="101"/>
        </w:rPr>
        <w:t>ਾ</w:t>
      </w:r>
      <w:r>
        <w:rPr>
          <w:rFonts w:ascii="Arial Unicode MS" w:eastAsia="Arial Unicode MS" w:hAnsi="Arial Unicode MS" w:cs="Arial Unicode MS" w:hint="eastAsia"/>
          <w:w w:val="101"/>
        </w:rPr>
        <w:t>ਂ</w:t>
      </w:r>
      <w:proofErr w:type="spellEnd"/>
      <w:r>
        <w:rPr>
          <w:rFonts w:ascii="Arial Unicode MS" w:eastAsia="Arial Unicode MS" w:hAnsi="Arial Unicode MS" w:cs="Arial Unicode MS" w:hint="eastAsia"/>
          <w:spacing w:val="6"/>
        </w:rPr>
        <w:t xml:space="preserve"> </w:t>
      </w:r>
      <w:proofErr w:type="spellStart"/>
      <w:r>
        <w:rPr>
          <w:rFonts w:ascii="Arial Unicode MS" w:eastAsia="Arial Unicode MS" w:hAnsi="Arial Unicode MS" w:cs="Arial Unicode MS" w:hint="eastAsia"/>
          <w:w w:val="112"/>
        </w:rPr>
        <w:t>ਫ</w:t>
      </w:r>
      <w:r>
        <w:rPr>
          <w:rFonts w:ascii="Arial Unicode MS" w:eastAsia="Arial Unicode MS" w:hAnsi="Arial Unicode MS" w:cs="Arial Unicode MS" w:hint="eastAsia"/>
          <w:w w:val="114"/>
        </w:rPr>
        <w:t>ਾ</w:t>
      </w:r>
      <w:r>
        <w:rPr>
          <w:rFonts w:ascii="Arial Unicode MS" w:eastAsia="Arial Unicode MS" w:hAnsi="Arial Unicode MS" w:cs="Arial Unicode MS" w:hint="eastAsia"/>
          <w:spacing w:val="-1"/>
          <w:w w:val="114"/>
        </w:rPr>
        <w:t>ਰ</w:t>
      </w:r>
      <w:r>
        <w:rPr>
          <w:rFonts w:ascii="Arial Unicode MS" w:eastAsia="Arial Unicode MS" w:hAnsi="Arial Unicode MS" w:cs="Arial Unicode MS" w:hint="eastAsia"/>
          <w:spacing w:val="-1"/>
          <w:w w:val="78"/>
        </w:rPr>
        <w:t>ਮ</w:t>
      </w:r>
      <w:proofErr w:type="spellEnd"/>
      <w:r>
        <w:rPr>
          <w:rFonts w:ascii="Arial Unicode MS" w:eastAsia="Arial Unicode MS" w:hAnsi="Arial Unicode MS" w:cs="Arial Unicode MS" w:hint="eastAsia"/>
          <w:spacing w:val="-1"/>
          <w:w w:val="78"/>
        </w:rPr>
        <w:t xml:space="preserve"> </w:t>
      </w:r>
      <w:proofErr w:type="spellStart"/>
      <w:r>
        <w:rPr>
          <w:rFonts w:ascii="Arial Unicode MS" w:eastAsia="Arial Unicode MS" w:hAnsi="Arial Unicode MS" w:cs="Arial Unicode MS" w:hint="eastAsia"/>
          <w:spacing w:val="-1"/>
          <w:w w:val="78"/>
        </w:rPr>
        <w:t>ੈ</w:t>
      </w:r>
      <w:r>
        <w:rPr>
          <w:rFonts w:ascii="Arial Unicode MS" w:eastAsia="Arial Unicode MS" w:hAnsi="Arial Unicode MS" w:cs="Arial Unicode MS" w:hint="eastAsia"/>
          <w:spacing w:val="-3"/>
          <w:w w:val="78"/>
        </w:rPr>
        <w:t>ੱ</w:t>
      </w:r>
      <w:r>
        <w:rPr>
          <w:rFonts w:ascii="Arial Unicode MS" w:eastAsia="Arial Unicode MS" w:hAnsi="Arial Unicode MS" w:cs="Arial Unicode MS" w:hint="eastAsia"/>
          <w:w w:val="124"/>
        </w:rPr>
        <w:t>ਟ</w:t>
      </w:r>
      <w:proofErr w:type="spellEnd"/>
      <w:r>
        <w:rPr>
          <w:rFonts w:ascii="Arial Unicode MS" w:eastAsia="Arial Unicode MS" w:hAnsi="Arial Unicode MS" w:cs="Arial Unicode MS" w:hint="eastAsia"/>
          <w:spacing w:val="7"/>
        </w:rPr>
        <w:t xml:space="preserve"> </w:t>
      </w:r>
      <w:proofErr w:type="spellStart"/>
      <w:r>
        <w:rPr>
          <w:rFonts w:ascii="Arial Unicode MS" w:eastAsia="Arial Unicode MS" w:hAnsi="Arial Unicode MS" w:cs="Arial Unicode MS" w:hint="eastAsia"/>
          <w:w w:val="78"/>
        </w:rPr>
        <w:t>ਕ</w:t>
      </w:r>
      <w:r>
        <w:rPr>
          <w:rFonts w:ascii="Arial Unicode MS" w:eastAsia="Arial Unicode MS" w:hAnsi="Arial Unicode MS" w:cs="Arial Unicode MS" w:hint="eastAsia"/>
          <w:spacing w:val="-1"/>
          <w:w w:val="78"/>
        </w:rPr>
        <w:t>ਜ</w:t>
      </w:r>
      <w:r>
        <w:rPr>
          <w:rFonts w:ascii="Arial Unicode MS" w:eastAsia="Arial Unicode MS" w:hAnsi="Arial Unicode MS" w:cs="Arial Unicode MS" w:hint="eastAsia"/>
          <w:w w:val="102"/>
        </w:rPr>
        <w:t>ਵ</w:t>
      </w:r>
      <w:r>
        <w:rPr>
          <w:rFonts w:ascii="Arial Unicode MS" w:eastAsia="Arial Unicode MS" w:hAnsi="Arial Unicode MS" w:cs="Arial Unicode MS" w:hint="eastAsia"/>
        </w:rPr>
        <w:t>ੇਂ</w:t>
      </w:r>
      <w:proofErr w:type="spellEnd"/>
      <w:r>
        <w:rPr>
          <w:rFonts w:ascii="Arial Unicode MS" w:eastAsia="Arial Unicode MS" w:hAnsi="Arial Unicode MS" w:cs="Arial Unicode MS" w:hint="eastAsia"/>
          <w:spacing w:val="6"/>
        </w:rPr>
        <w:t xml:space="preserve"> </w:t>
      </w:r>
      <w:proofErr w:type="spellStart"/>
      <w:r>
        <w:rPr>
          <w:rFonts w:ascii="Arial Unicode MS" w:eastAsia="Arial Unicode MS" w:hAnsi="Arial Unicode MS" w:cs="Arial Unicode MS" w:hint="eastAsia"/>
          <w:w w:val="78"/>
        </w:rPr>
        <w:t>ਬ੍ਰੇਲ</w:t>
      </w:r>
      <w:proofErr w:type="spellEnd"/>
      <w:r>
        <w:t>,</w:t>
      </w:r>
      <w:r>
        <w:rPr>
          <w:spacing w:val="7"/>
        </w:rPr>
        <w:t xml:space="preserve"> </w:t>
      </w:r>
      <w:proofErr w:type="spellStart"/>
      <w:r>
        <w:rPr>
          <w:rFonts w:ascii="Arial Unicode MS" w:eastAsia="Arial Unicode MS" w:hAnsi="Arial Unicode MS" w:cs="Arial Unicode MS" w:hint="eastAsia"/>
          <w:w w:val="84"/>
        </w:rPr>
        <w:t>ਟਾ</w:t>
      </w:r>
      <w:r>
        <w:rPr>
          <w:rFonts w:ascii="Arial Unicode MS" w:eastAsia="Arial Unicode MS" w:hAnsi="Arial Unicode MS" w:cs="Arial Unicode MS" w:hint="eastAsia"/>
          <w:spacing w:val="-2"/>
          <w:w w:val="84"/>
        </w:rPr>
        <w:t>ਕ</w:t>
      </w:r>
      <w:r>
        <w:rPr>
          <w:rFonts w:ascii="Arial Unicode MS" w:eastAsia="Arial Unicode MS" w:hAnsi="Arial Unicode MS" w:cs="Arial Unicode MS" w:hint="eastAsia"/>
          <w:spacing w:val="-1"/>
          <w:w w:val="93"/>
        </w:rPr>
        <w:t>ਕਿਂ</w:t>
      </w:r>
      <w:r>
        <w:rPr>
          <w:rFonts w:ascii="Arial Unicode MS" w:eastAsia="Arial Unicode MS" w:hAnsi="Arial Unicode MS" w:cs="Arial Unicode MS" w:hint="eastAsia"/>
          <w:w w:val="93"/>
        </w:rPr>
        <w:t>ਗ</w:t>
      </w:r>
      <w:proofErr w:type="spellEnd"/>
      <w:r>
        <w:rPr>
          <w:rFonts w:ascii="Arial Unicode MS" w:eastAsia="Arial Unicode MS" w:hAnsi="Arial Unicode MS" w:cs="Arial Unicode MS" w:hint="eastAsia"/>
          <w:spacing w:val="7"/>
        </w:rPr>
        <w:t xml:space="preserve"> </w:t>
      </w:r>
      <w:proofErr w:type="spellStart"/>
      <w:r>
        <w:rPr>
          <w:rFonts w:ascii="Arial Unicode MS" w:eastAsia="Arial Unicode MS" w:hAnsi="Arial Unicode MS" w:cs="Arial Unicode MS" w:hint="eastAsia"/>
          <w:w w:val="119"/>
        </w:rPr>
        <w:t>ਟੇਪ</w:t>
      </w:r>
      <w:proofErr w:type="spellEnd"/>
      <w:r>
        <w:rPr>
          <w:rFonts w:ascii="Arial Unicode MS" w:eastAsia="Arial Unicode MS" w:hAnsi="Arial Unicode MS" w:cs="Arial Unicode MS" w:hint="eastAsia"/>
          <w:spacing w:val="5"/>
        </w:rPr>
        <w:t xml:space="preserve"> </w:t>
      </w:r>
      <w:proofErr w:type="spellStart"/>
      <w:r>
        <w:rPr>
          <w:rFonts w:ascii="Arial Unicode MS" w:eastAsia="Arial Unicode MS" w:hAnsi="Arial Unicode MS" w:cs="Arial Unicode MS" w:hint="eastAsia"/>
          <w:spacing w:val="-1"/>
          <w:w w:val="116"/>
        </w:rPr>
        <w:t>ਜ</w:t>
      </w:r>
      <w:r>
        <w:rPr>
          <w:rFonts w:ascii="Arial Unicode MS" w:eastAsia="Arial Unicode MS" w:hAnsi="Arial Unicode MS" w:cs="Arial Unicode MS" w:hint="eastAsia"/>
          <w:spacing w:val="-1"/>
          <w:w w:val="101"/>
        </w:rPr>
        <w:t>ਾ</w:t>
      </w:r>
      <w:r>
        <w:rPr>
          <w:rFonts w:ascii="Arial Unicode MS" w:eastAsia="Arial Unicode MS" w:hAnsi="Arial Unicode MS" w:cs="Arial Unicode MS" w:hint="eastAsia"/>
          <w:w w:val="101"/>
        </w:rPr>
        <w:t>ਂ</w:t>
      </w:r>
      <w:proofErr w:type="spellEnd"/>
      <w:r>
        <w:rPr>
          <w:rFonts w:ascii="Arial Unicode MS" w:eastAsia="Arial Unicode MS" w:hAnsi="Arial Unicode MS" w:cs="Arial Unicode MS" w:hint="eastAsia"/>
          <w:spacing w:val="8"/>
        </w:rPr>
        <w:t xml:space="preserve"> </w:t>
      </w:r>
      <w:r>
        <w:rPr>
          <w:spacing w:val="-2"/>
        </w:rPr>
        <w:t>D</w:t>
      </w:r>
      <w:r>
        <w:rPr>
          <w:spacing w:val="-4"/>
        </w:rPr>
        <w:t>V</w:t>
      </w:r>
      <w:r>
        <w:t>D</w:t>
      </w:r>
      <w:r>
        <w:rPr>
          <w:spacing w:val="8"/>
        </w:rPr>
        <w:t xml:space="preserve"> </w:t>
      </w:r>
      <w:proofErr w:type="spellStart"/>
      <w:r>
        <w:rPr>
          <w:rFonts w:ascii="Arial Unicode MS" w:eastAsia="Arial Unicode MS" w:hAnsi="Arial Unicode MS" w:cs="Arial Unicode MS" w:hint="eastAsia"/>
          <w:w w:val="41"/>
        </w:rPr>
        <w:t>ਕ</w:t>
      </w:r>
      <w:r>
        <w:rPr>
          <w:rFonts w:ascii="Arial Unicode MS" w:eastAsia="Arial Unicode MS" w:hAnsi="Arial Unicode MS" w:cs="Arial Unicode MS" w:hint="eastAsia"/>
          <w:spacing w:val="-31"/>
          <w:w w:val="102"/>
        </w:rPr>
        <w:t>ਵ</w:t>
      </w:r>
      <w:r>
        <w:rPr>
          <w:rFonts w:ascii="Arial Unicode MS" w:eastAsia="Arial Unicode MS" w:hAnsi="Arial Unicode MS" w:cs="Arial Unicode MS" w:hint="eastAsia"/>
        </w:rPr>
        <w:t>ਿੱ</w:t>
      </w:r>
      <w:proofErr w:type="spellEnd"/>
      <w:r>
        <w:rPr>
          <w:rFonts w:ascii="Arial Unicode MS" w:eastAsia="Arial Unicode MS" w:hAnsi="Arial Unicode MS" w:cs="Arial Unicode MS" w:hint="eastAsia"/>
          <w:spacing w:val="-33"/>
        </w:rPr>
        <w:t xml:space="preserve"> </w:t>
      </w:r>
      <w:r>
        <w:rPr>
          <w:rFonts w:ascii="Arial Unicode MS" w:eastAsia="Arial Unicode MS" w:hAnsi="Arial Unicode MS" w:cs="Arial Unicode MS" w:hint="eastAsia"/>
          <w:w w:val="118"/>
        </w:rPr>
        <w:t>ਚ</w:t>
      </w:r>
      <w:r>
        <w:rPr>
          <w:rFonts w:ascii="Arial Unicode MS" w:eastAsia="Arial Unicode MS" w:hAnsi="Arial Unicode MS" w:cs="Arial Unicode MS" w:hint="eastAsia"/>
          <w:spacing w:val="7"/>
        </w:rPr>
        <w:t xml:space="preserve"> </w:t>
      </w:r>
      <w:proofErr w:type="spellStart"/>
      <w:r>
        <w:rPr>
          <w:rFonts w:ascii="Arial Unicode MS" w:eastAsia="Arial Unicode MS" w:hAnsi="Arial Unicode MS" w:cs="Arial Unicode MS" w:hint="eastAsia"/>
          <w:spacing w:val="1"/>
          <w:w w:val="118"/>
        </w:rPr>
        <w:t>ਚ</w:t>
      </w:r>
      <w:r>
        <w:rPr>
          <w:rFonts w:ascii="Arial Unicode MS" w:eastAsia="Arial Unicode MS" w:hAnsi="Arial Unicode MS" w:cs="Arial Unicode MS" w:hint="eastAsia"/>
          <w:w w:val="112"/>
        </w:rPr>
        <w:t>ਾ</w:t>
      </w:r>
      <w:r>
        <w:rPr>
          <w:rFonts w:ascii="Arial Unicode MS" w:eastAsia="Arial Unicode MS" w:hAnsi="Arial Unicode MS" w:cs="Arial Unicode MS" w:hint="eastAsia"/>
          <w:spacing w:val="-1"/>
          <w:w w:val="112"/>
        </w:rPr>
        <w:t>ਹ</w:t>
      </w:r>
      <w:r>
        <w:rPr>
          <w:rFonts w:ascii="Arial Unicode MS" w:eastAsia="Arial Unicode MS" w:hAnsi="Arial Unicode MS" w:cs="Arial Unicode MS" w:hint="eastAsia"/>
          <w:w w:val="103"/>
        </w:rPr>
        <w:t>ੀਦਾ</w:t>
      </w:r>
      <w:proofErr w:type="spellEnd"/>
      <w:r>
        <w:rPr>
          <w:rFonts w:ascii="Arial Unicode MS" w:eastAsia="Arial Unicode MS" w:hAnsi="Arial Unicode MS" w:cs="Arial Unicode MS" w:hint="eastAsia"/>
          <w:spacing w:val="6"/>
        </w:rPr>
        <w:t xml:space="preserve"> </w:t>
      </w:r>
      <w:proofErr w:type="gramStart"/>
      <w:r>
        <w:rPr>
          <w:rFonts w:ascii="Arial Unicode MS" w:eastAsia="Arial Unicode MS" w:hAnsi="Arial Unicode MS" w:cs="Arial Unicode MS" w:hint="eastAsia"/>
          <w:spacing w:val="-1"/>
          <w:w w:val="78"/>
        </w:rPr>
        <w:t>ਹ</w:t>
      </w:r>
      <w:r>
        <w:rPr>
          <w:rFonts w:ascii="Arial Unicode MS" w:eastAsia="Arial Unicode MS" w:hAnsi="Arial Unicode MS" w:cs="Arial Unicode MS" w:hint="eastAsia"/>
          <w:w w:val="78"/>
        </w:rPr>
        <w:t xml:space="preserve"> </w:t>
      </w:r>
      <w:r>
        <w:rPr>
          <w:rFonts w:ascii="Arial Unicode MS" w:eastAsia="Arial Unicode MS" w:hAnsi="Arial Unicode MS" w:cs="Arial Unicode MS" w:hint="eastAsia"/>
          <w:spacing w:val="7"/>
        </w:rPr>
        <w:t xml:space="preserve"> </w:t>
      </w:r>
      <w:proofErr w:type="spellStart"/>
      <w:r>
        <w:rPr>
          <w:rFonts w:ascii="Arial Unicode MS" w:eastAsia="Arial Unicode MS" w:hAnsi="Arial Unicode MS" w:cs="Arial Unicode MS" w:hint="eastAsia"/>
          <w:spacing w:val="-25"/>
          <w:w w:val="114"/>
        </w:rPr>
        <w:t>ਤ</w:t>
      </w:r>
      <w:r>
        <w:rPr>
          <w:rFonts w:ascii="Arial Unicode MS" w:eastAsia="Arial Unicode MS" w:hAnsi="Arial Unicode MS" w:cs="Arial Unicode MS" w:hint="eastAsia"/>
          <w:spacing w:val="-25"/>
          <w:w w:val="101"/>
        </w:rPr>
        <w:t>ਾਂ</w:t>
      </w:r>
      <w:proofErr w:type="spellEnd"/>
      <w:proofErr w:type="gramEnd"/>
      <w:r>
        <w:rPr>
          <w:rFonts w:ascii="Arial Unicode MS" w:eastAsia="Arial Unicode MS" w:hAnsi="Arial Unicode MS" w:cs="Arial Unicode MS" w:hint="eastAsia"/>
          <w:w w:val="101"/>
        </w:rPr>
        <w:t xml:space="preserve"> </w:t>
      </w:r>
      <w:proofErr w:type="spellStart"/>
      <w:r>
        <w:rPr>
          <w:rFonts w:ascii="Arial Unicode MS" w:eastAsia="Arial Unicode MS" w:hAnsi="Arial Unicode MS" w:cs="Arial Unicode MS" w:hint="eastAsia"/>
          <w:w w:val="89"/>
        </w:rPr>
        <w:t>ਕਕ</w:t>
      </w:r>
      <w:r>
        <w:rPr>
          <w:rFonts w:ascii="Arial Unicode MS" w:eastAsia="Arial Unicode MS" w:hAnsi="Arial Unicode MS" w:cs="Arial Unicode MS" w:hint="eastAsia"/>
          <w:spacing w:val="-2"/>
          <w:w w:val="89"/>
        </w:rPr>
        <w:t>ਰ</w:t>
      </w:r>
      <w:r>
        <w:rPr>
          <w:rFonts w:ascii="Arial Unicode MS" w:eastAsia="Arial Unicode MS" w:hAnsi="Arial Unicode MS" w:cs="Arial Unicode MS" w:hint="eastAsia"/>
          <w:spacing w:val="-1"/>
          <w:w w:val="114"/>
        </w:rPr>
        <w:t>ਪ</w:t>
      </w:r>
      <w:r>
        <w:rPr>
          <w:rFonts w:ascii="Arial Unicode MS" w:eastAsia="Arial Unicode MS" w:hAnsi="Arial Unicode MS" w:cs="Arial Unicode MS" w:hint="eastAsia"/>
          <w:w w:val="101"/>
        </w:rPr>
        <w:t>ਾ</w:t>
      </w:r>
      <w:proofErr w:type="spellEnd"/>
      <w:r>
        <w:rPr>
          <w:rFonts w:ascii="Arial Unicode MS" w:eastAsia="Arial Unicode MS" w:hAnsi="Arial Unicode MS" w:cs="Arial Unicode MS" w:hint="eastAsia"/>
          <w:spacing w:val="1"/>
        </w:rPr>
        <w:t xml:space="preserve"> </w:t>
      </w:r>
      <w:proofErr w:type="spellStart"/>
      <w:r>
        <w:rPr>
          <w:rFonts w:ascii="Arial Unicode MS" w:eastAsia="Arial Unicode MS" w:hAnsi="Arial Unicode MS" w:cs="Arial Unicode MS" w:hint="eastAsia"/>
          <w:spacing w:val="-1"/>
          <w:w w:val="114"/>
        </w:rPr>
        <w:t>ਕ</w:t>
      </w:r>
      <w:r>
        <w:rPr>
          <w:rFonts w:ascii="Arial Unicode MS" w:eastAsia="Arial Unicode MS" w:hAnsi="Arial Unicode MS" w:cs="Arial Unicode MS" w:hint="eastAsia"/>
          <w:spacing w:val="-2"/>
          <w:w w:val="114"/>
        </w:rPr>
        <w:t>ਰ</w:t>
      </w:r>
      <w:r>
        <w:rPr>
          <w:rFonts w:ascii="Arial Unicode MS" w:eastAsia="Arial Unicode MS" w:hAnsi="Arial Unicode MS" w:cs="Arial Unicode MS" w:hint="eastAsia"/>
          <w:spacing w:val="-1"/>
          <w:w w:val="110"/>
        </w:rPr>
        <w:t>ਕ</w:t>
      </w:r>
      <w:r>
        <w:rPr>
          <w:rFonts w:ascii="Arial Unicode MS" w:eastAsia="Arial Unicode MS" w:hAnsi="Arial Unicode MS" w:cs="Arial Unicode MS" w:hint="eastAsia"/>
          <w:w w:val="110"/>
        </w:rPr>
        <w:t>ੇ</w:t>
      </w:r>
      <w:proofErr w:type="spellEnd"/>
      <w:r>
        <w:rPr>
          <w:rFonts w:ascii="Arial Unicode MS" w:eastAsia="Arial Unicode MS" w:hAnsi="Arial Unicode MS" w:cs="Arial Unicode MS" w:hint="eastAsia"/>
          <w:spacing w:val="1"/>
        </w:rPr>
        <w:t xml:space="preserve"> </w:t>
      </w:r>
      <w:proofErr w:type="spellStart"/>
      <w:r>
        <w:rPr>
          <w:rFonts w:ascii="Arial Unicode MS" w:eastAsia="Arial Unicode MS" w:hAnsi="Arial Unicode MS" w:cs="Arial Unicode MS" w:hint="eastAsia"/>
          <w:spacing w:val="-1"/>
          <w:w w:val="117"/>
        </w:rPr>
        <w:t>ਹ</w:t>
      </w:r>
      <w:r>
        <w:rPr>
          <w:rFonts w:ascii="Arial Unicode MS" w:eastAsia="Arial Unicode MS" w:hAnsi="Arial Unicode MS" w:cs="Arial Unicode MS" w:hint="eastAsia"/>
          <w:w w:val="118"/>
        </w:rPr>
        <w:t>ੇ</w:t>
      </w:r>
      <w:r>
        <w:rPr>
          <w:rFonts w:ascii="Arial Unicode MS" w:eastAsia="Arial Unicode MS" w:hAnsi="Arial Unicode MS" w:cs="Arial Unicode MS" w:hint="eastAsia"/>
          <w:spacing w:val="-1"/>
          <w:w w:val="118"/>
        </w:rPr>
        <w:t>ਠ</w:t>
      </w:r>
      <w:r>
        <w:rPr>
          <w:rFonts w:ascii="Arial Unicode MS" w:eastAsia="Arial Unicode MS" w:hAnsi="Arial Unicode MS" w:cs="Arial Unicode MS" w:hint="eastAsia"/>
          <w:w w:val="101"/>
        </w:rPr>
        <w:t>ਾਂ</w:t>
      </w:r>
      <w:proofErr w:type="spellEnd"/>
      <w:r>
        <w:rPr>
          <w:rFonts w:ascii="Arial Unicode MS" w:eastAsia="Arial Unicode MS" w:hAnsi="Arial Unicode MS" w:cs="Arial Unicode MS" w:hint="eastAsia"/>
          <w:spacing w:val="-1"/>
        </w:rPr>
        <w:t xml:space="preserve"> </w:t>
      </w:r>
      <w:proofErr w:type="spellStart"/>
      <w:r>
        <w:rPr>
          <w:rFonts w:ascii="Arial Unicode MS" w:eastAsia="Arial Unicode MS" w:hAnsi="Arial Unicode MS" w:cs="Arial Unicode MS" w:hint="eastAsia"/>
          <w:w w:val="41"/>
        </w:rPr>
        <w:t>ਕ</w:t>
      </w:r>
      <w:r>
        <w:rPr>
          <w:rFonts w:ascii="Arial Unicode MS" w:eastAsia="Arial Unicode MS" w:hAnsi="Arial Unicode MS" w:cs="Arial Unicode MS" w:hint="eastAsia"/>
          <w:spacing w:val="-31"/>
          <w:w w:val="105"/>
        </w:rPr>
        <w:t>ਦ</w:t>
      </w:r>
      <w:r>
        <w:rPr>
          <w:rFonts w:ascii="Arial Unicode MS" w:eastAsia="Arial Unicode MS" w:hAnsi="Arial Unicode MS" w:cs="Arial Unicode MS" w:hint="eastAsia"/>
        </w:rPr>
        <w:t>ਿੱ</w:t>
      </w:r>
      <w:proofErr w:type="spellEnd"/>
      <w:r>
        <w:rPr>
          <w:rFonts w:ascii="Arial Unicode MS" w:eastAsia="Arial Unicode MS" w:hAnsi="Arial Unicode MS" w:cs="Arial Unicode MS" w:hint="eastAsia"/>
          <w:spacing w:val="-33"/>
        </w:rPr>
        <w:t xml:space="preserve"> </w:t>
      </w:r>
      <w:proofErr w:type="spellStart"/>
      <w:r>
        <w:rPr>
          <w:rFonts w:ascii="Arial Unicode MS" w:eastAsia="Arial Unicode MS" w:hAnsi="Arial Unicode MS" w:cs="Arial Unicode MS" w:hint="eastAsia"/>
          <w:w w:val="114"/>
        </w:rPr>
        <w:t>ਤੇ</w:t>
      </w:r>
      <w:proofErr w:type="spellEnd"/>
      <w:r>
        <w:rPr>
          <w:rFonts w:ascii="Arial Unicode MS" w:eastAsia="Arial Unicode MS" w:hAnsi="Arial Unicode MS" w:cs="Arial Unicode MS" w:hint="eastAsia"/>
          <w:spacing w:val="-1"/>
        </w:rPr>
        <w:t xml:space="preserve"> </w:t>
      </w:r>
      <w:proofErr w:type="spellStart"/>
      <w:r>
        <w:rPr>
          <w:rFonts w:ascii="Arial Unicode MS" w:eastAsia="Arial Unicode MS" w:hAnsi="Arial Unicode MS" w:cs="Arial Unicode MS" w:hint="eastAsia"/>
          <w:spacing w:val="-79"/>
          <w:w w:val="116"/>
        </w:rPr>
        <w:t>ਨ</w:t>
      </w:r>
      <w:r>
        <w:rPr>
          <w:rFonts w:ascii="Arial Unicode MS" w:eastAsia="Arial Unicode MS" w:hAnsi="Arial Unicode MS" w:cs="Arial Unicode MS" w:hint="eastAsia"/>
        </w:rPr>
        <w:t>ੂੰ</w:t>
      </w:r>
      <w:proofErr w:type="spellEnd"/>
      <w:r>
        <w:rPr>
          <w:rFonts w:ascii="Arial Unicode MS" w:eastAsia="Arial Unicode MS" w:hAnsi="Arial Unicode MS" w:cs="Arial Unicode MS" w:hint="eastAsia"/>
          <w:spacing w:val="17"/>
        </w:rPr>
        <w:t xml:space="preserve"> </w:t>
      </w:r>
      <w:proofErr w:type="spellStart"/>
      <w:r>
        <w:rPr>
          <w:rFonts w:ascii="Arial Unicode MS" w:eastAsia="Arial Unicode MS" w:hAnsi="Arial Unicode MS" w:cs="Arial Unicode MS" w:hint="eastAsia"/>
          <w:w w:val="121"/>
        </w:rPr>
        <w:t>ਬ੍ਰ</w:t>
      </w:r>
      <w:proofErr w:type="spellEnd"/>
      <w:r>
        <w:rPr>
          <w:rFonts w:ascii="Arial Unicode MS" w:eastAsia="Arial Unicode MS" w:hAnsi="Arial Unicode MS" w:cs="Arial Unicode MS" w:hint="eastAsia"/>
          <w:spacing w:val="-3"/>
        </w:rPr>
        <w:t xml:space="preserve"> </w:t>
      </w:r>
      <w:proofErr w:type="spellStart"/>
      <w:r>
        <w:rPr>
          <w:rFonts w:ascii="Arial Unicode MS" w:eastAsia="Arial Unicode MS" w:hAnsi="Arial Unicode MS" w:cs="Arial Unicode MS" w:hint="eastAsia"/>
          <w:w w:val="114"/>
        </w:rPr>
        <w:t>ਤੇ</w:t>
      </w:r>
      <w:proofErr w:type="spellEnd"/>
      <w:r>
        <w:rPr>
          <w:rFonts w:ascii="Arial Unicode MS" w:eastAsia="Arial Unicode MS" w:hAnsi="Arial Unicode MS" w:cs="Arial Unicode MS" w:hint="eastAsia"/>
          <w:spacing w:val="1"/>
        </w:rPr>
        <w:t xml:space="preserve"> </w:t>
      </w:r>
      <w:proofErr w:type="spellStart"/>
      <w:r>
        <w:rPr>
          <w:rFonts w:ascii="Arial Unicode MS" w:eastAsia="Arial Unicode MS" w:hAnsi="Arial Unicode MS" w:cs="Arial Unicode MS" w:hint="eastAsia"/>
          <w:spacing w:val="-1"/>
          <w:w w:val="108"/>
        </w:rPr>
        <w:t>ਕ</w:t>
      </w:r>
      <w:r>
        <w:rPr>
          <w:rFonts w:ascii="Arial Unicode MS" w:eastAsia="Arial Unicode MS" w:hAnsi="Arial Unicode MS" w:cs="Arial Unicode MS" w:hint="eastAsia"/>
          <w:spacing w:val="-3"/>
          <w:w w:val="108"/>
        </w:rPr>
        <w:t>ਾ</w:t>
      </w:r>
      <w:r>
        <w:rPr>
          <w:rFonts w:ascii="Arial Unicode MS" w:eastAsia="Arial Unicode MS" w:hAnsi="Arial Unicode MS" w:cs="Arial Unicode MS" w:hint="eastAsia"/>
          <w:w w:val="104"/>
        </w:rPr>
        <w:t>ਲ</w:t>
      </w:r>
      <w:proofErr w:type="spellEnd"/>
      <w:r>
        <w:rPr>
          <w:rFonts w:ascii="Arial Unicode MS" w:eastAsia="Arial Unicode MS" w:hAnsi="Arial Unicode MS" w:cs="Arial Unicode MS" w:hint="eastAsia"/>
          <w:spacing w:val="1"/>
        </w:rPr>
        <w:t xml:space="preserve"> </w:t>
      </w:r>
      <w:proofErr w:type="spellStart"/>
      <w:r>
        <w:rPr>
          <w:rFonts w:ascii="Arial Unicode MS" w:eastAsia="Arial Unicode MS" w:hAnsi="Arial Unicode MS" w:cs="Arial Unicode MS" w:hint="eastAsia"/>
          <w:spacing w:val="-1"/>
          <w:w w:val="114"/>
        </w:rPr>
        <w:t>ਕ</w:t>
      </w:r>
      <w:r>
        <w:rPr>
          <w:rFonts w:ascii="Arial Unicode MS" w:eastAsia="Arial Unicode MS" w:hAnsi="Arial Unicode MS" w:cs="Arial Unicode MS" w:hint="eastAsia"/>
          <w:spacing w:val="-2"/>
          <w:w w:val="114"/>
        </w:rPr>
        <w:t>ਰ</w:t>
      </w:r>
      <w:r>
        <w:rPr>
          <w:rFonts w:ascii="Arial Unicode MS" w:eastAsia="Arial Unicode MS" w:hAnsi="Arial Unicode MS" w:cs="Arial Unicode MS" w:hint="eastAsia"/>
        </w:rPr>
        <w:t>ੋ</w:t>
      </w:r>
      <w:proofErr w:type="spellEnd"/>
      <w:r>
        <w:rPr>
          <w:rFonts w:ascii="Nirmala UI" w:eastAsia="Nirmala UI" w:hAnsi="Nirmala UI" w:cs="Nirmala UI"/>
        </w:rPr>
        <w:t>।</w:t>
      </w:r>
    </w:p>
    <w:p w14:paraId="18483E8C" w14:textId="77777777" w:rsidR="00AB3ABB" w:rsidRDefault="0017742F">
      <w:pPr>
        <w:pStyle w:val="BodyText"/>
        <w:spacing w:before="190"/>
        <w:jc w:val="left"/>
      </w:pPr>
      <w:r>
        <w:t>Simplified Chinese:</w:t>
      </w:r>
    </w:p>
    <w:p w14:paraId="269433BD" w14:textId="77777777" w:rsidR="00AB3ABB" w:rsidRDefault="0017742F">
      <w:pPr>
        <w:pStyle w:val="BodyText"/>
        <w:spacing w:before="183"/>
        <w:jc w:val="left"/>
        <w:rPr>
          <w:rFonts w:ascii="SimSun" w:eastAsia="SimSun"/>
        </w:rPr>
      </w:pPr>
      <w:proofErr w:type="spellStart"/>
      <w:r>
        <w:rPr>
          <w:rFonts w:ascii="MS Gothic" w:eastAsia="MS Gothic" w:hint="eastAsia"/>
        </w:rPr>
        <w:t>如果您需要</w:t>
      </w:r>
      <w:r>
        <w:rPr>
          <w:rFonts w:ascii="SimSun" w:eastAsia="SimSun" w:hint="eastAsia"/>
        </w:rPr>
        <w:t>该条信息用其他语言或格式概述，例如盲文，录</w:t>
      </w:r>
      <w:r>
        <w:rPr>
          <w:rFonts w:ascii="MS Gothic" w:eastAsia="MS Gothic" w:hint="eastAsia"/>
        </w:rPr>
        <w:t>音磁</w:t>
      </w:r>
      <w:r>
        <w:rPr>
          <w:rFonts w:ascii="SimSun" w:eastAsia="SimSun" w:hint="eastAsia"/>
        </w:rPr>
        <w:t>带或</w:t>
      </w:r>
      <w:proofErr w:type="spellEnd"/>
      <w:r>
        <w:rPr>
          <w:rFonts w:ascii="SimSun" w:eastAsia="SimSun" w:hint="eastAsia"/>
        </w:rPr>
        <w:t xml:space="preserve"> </w:t>
      </w:r>
      <w:proofErr w:type="spellStart"/>
      <w:r>
        <w:t>DVD</w:t>
      </w:r>
      <w:r>
        <w:rPr>
          <w:rFonts w:ascii="MS Gothic" w:eastAsia="MS Gothic" w:hint="eastAsia"/>
        </w:rPr>
        <w:t>。</w:t>
      </w:r>
      <w:r>
        <w:rPr>
          <w:rFonts w:ascii="SimSun" w:eastAsia="SimSun" w:hint="eastAsia"/>
        </w:rPr>
        <w:t>请联系以下号码</w:t>
      </w:r>
      <w:proofErr w:type="spellEnd"/>
    </w:p>
    <w:p w14:paraId="1E9199F3" w14:textId="77777777" w:rsidR="00AB3ABB" w:rsidRDefault="0017742F">
      <w:pPr>
        <w:pStyle w:val="BodyText"/>
        <w:spacing w:before="25"/>
        <w:jc w:val="left"/>
        <w:rPr>
          <w:rFonts w:ascii="SimSun" w:eastAsia="SimSun"/>
        </w:rPr>
      </w:pPr>
      <w:r>
        <w:rPr>
          <w:rFonts w:ascii="SimSun" w:eastAsia="SimSun" w:hint="eastAsia"/>
        </w:rPr>
        <w:t>：</w:t>
      </w:r>
    </w:p>
    <w:p w14:paraId="52CBD345" w14:textId="77777777" w:rsidR="00AB3ABB" w:rsidRDefault="0017742F">
      <w:pPr>
        <w:pStyle w:val="BodyText"/>
        <w:spacing w:before="183"/>
        <w:jc w:val="left"/>
      </w:pPr>
      <w:r>
        <w:t>Urdu:</w:t>
      </w:r>
    </w:p>
    <w:p w14:paraId="7074EFA8" w14:textId="77777777" w:rsidR="00AB3ABB" w:rsidRDefault="0017742F">
      <w:pPr>
        <w:pStyle w:val="BodyText"/>
        <w:bidi/>
        <w:spacing w:before="154"/>
        <w:ind w:left="115"/>
        <w:jc w:val="left"/>
      </w:pPr>
      <w:proofErr w:type="spellStart"/>
      <w:r>
        <w:rPr>
          <w:rtl/>
        </w:rPr>
        <w:t>ا</w:t>
      </w:r>
      <w:r>
        <w:rPr>
          <w:spacing w:val="-1"/>
          <w:w w:val="48"/>
          <w:rtl/>
        </w:rPr>
        <w:t>گ</w:t>
      </w:r>
      <w:r>
        <w:rPr>
          <w:rtl/>
        </w:rPr>
        <w:t>ر</w:t>
      </w:r>
      <w:proofErr w:type="spellEnd"/>
      <w:r>
        <w:rPr>
          <w:spacing w:val="1"/>
          <w:rtl/>
        </w:rPr>
        <w:t xml:space="preserve"> </w:t>
      </w:r>
      <w:proofErr w:type="spellStart"/>
      <w:r>
        <w:rPr>
          <w:rtl/>
        </w:rPr>
        <w:t>آپ</w:t>
      </w:r>
      <w:proofErr w:type="spellEnd"/>
      <w:r>
        <w:rPr>
          <w:spacing w:val="-2"/>
          <w:rtl/>
        </w:rPr>
        <w:t xml:space="preserve"> </w:t>
      </w:r>
      <w:proofErr w:type="spellStart"/>
      <w:r>
        <w:rPr>
          <w:w w:val="48"/>
          <w:rtl/>
        </w:rPr>
        <w:t>ک</w:t>
      </w:r>
      <w:r>
        <w:rPr>
          <w:rtl/>
        </w:rPr>
        <w:t>و</w:t>
      </w:r>
      <w:proofErr w:type="spellEnd"/>
      <w:r>
        <w:rPr>
          <w:spacing w:val="-2"/>
          <w:rtl/>
        </w:rPr>
        <w:t xml:space="preserve"> </w:t>
      </w:r>
      <w:proofErr w:type="spellStart"/>
      <w:r>
        <w:rPr>
          <w:rtl/>
        </w:rPr>
        <w:t>ا</w:t>
      </w:r>
      <w:r>
        <w:rPr>
          <w:spacing w:val="-1"/>
          <w:rtl/>
        </w:rPr>
        <w:t>ن</w:t>
      </w:r>
      <w:proofErr w:type="spellEnd"/>
      <w:r>
        <w:rPr>
          <w:rtl/>
        </w:rPr>
        <w:t xml:space="preserve"> </w:t>
      </w:r>
      <w:proofErr w:type="spellStart"/>
      <w:proofErr w:type="gramStart"/>
      <w:r>
        <w:rPr>
          <w:w w:val="117"/>
          <w:rtl/>
        </w:rPr>
        <w:t>م</w:t>
      </w:r>
      <w:r>
        <w:rPr>
          <w:spacing w:val="-1"/>
          <w:w w:val="72"/>
          <w:rtl/>
        </w:rPr>
        <w:t>ع</w:t>
      </w:r>
      <w:r>
        <w:rPr>
          <w:spacing w:val="-1"/>
          <w:w w:val="41"/>
          <w:rtl/>
        </w:rPr>
        <w:t>ل</w:t>
      </w:r>
      <w:r>
        <w:rPr>
          <w:rtl/>
        </w:rPr>
        <w:t>و</w:t>
      </w:r>
      <w:r>
        <w:rPr>
          <w:spacing w:val="-1"/>
          <w:w w:val="117"/>
          <w:rtl/>
        </w:rPr>
        <w:t>م</w:t>
      </w:r>
      <w:r>
        <w:rPr>
          <w:spacing w:val="-1"/>
          <w:w w:val="111"/>
          <w:rtl/>
        </w:rPr>
        <w:t>ا</w:t>
      </w:r>
      <w:r>
        <w:rPr>
          <w:spacing w:val="-2"/>
          <w:rtl/>
        </w:rPr>
        <w:t>ت</w:t>
      </w:r>
      <w:proofErr w:type="spellEnd"/>
      <w:r>
        <w:rPr>
          <w:spacing w:val="-1"/>
          <w:rtl/>
        </w:rPr>
        <w:t xml:space="preserve"> </w:t>
      </w:r>
      <w:r>
        <w:rPr>
          <w:rtl/>
        </w:rPr>
        <w:t xml:space="preserve"> </w:t>
      </w:r>
      <w:proofErr w:type="spellStart"/>
      <w:r>
        <w:rPr>
          <w:w w:val="48"/>
          <w:rtl/>
        </w:rPr>
        <w:t>ک</w:t>
      </w:r>
      <w:r>
        <w:rPr>
          <w:rtl/>
        </w:rPr>
        <w:t>ے</w:t>
      </w:r>
      <w:proofErr w:type="spellEnd"/>
      <w:proofErr w:type="gramEnd"/>
      <w:r>
        <w:rPr>
          <w:spacing w:val="-1"/>
          <w:rtl/>
        </w:rPr>
        <w:t xml:space="preserve"> </w:t>
      </w:r>
      <w:proofErr w:type="spellStart"/>
      <w:r>
        <w:rPr>
          <w:w w:val="94"/>
          <w:rtl/>
        </w:rPr>
        <w:t>خ</w:t>
      </w:r>
      <w:r>
        <w:rPr>
          <w:spacing w:val="-1"/>
          <w:w w:val="84"/>
          <w:rtl/>
        </w:rPr>
        <w:t>ا</w:t>
      </w:r>
      <w:r>
        <w:rPr>
          <w:w w:val="84"/>
          <w:rtl/>
        </w:rPr>
        <w:t>ل</w:t>
      </w:r>
      <w:r>
        <w:rPr>
          <w:spacing w:val="-3"/>
          <w:w w:val="77"/>
          <w:rtl/>
        </w:rPr>
        <w:t>ص</w:t>
      </w:r>
      <w:r>
        <w:rPr>
          <w:rtl/>
        </w:rPr>
        <w:t>ہ</w:t>
      </w:r>
      <w:proofErr w:type="spellEnd"/>
      <w:r>
        <w:rPr>
          <w:rtl/>
        </w:rPr>
        <w:t xml:space="preserve"> </w:t>
      </w:r>
      <w:proofErr w:type="spellStart"/>
      <w:r>
        <w:rPr>
          <w:w w:val="48"/>
          <w:rtl/>
        </w:rPr>
        <w:t>ک</w:t>
      </w:r>
      <w:r>
        <w:rPr>
          <w:spacing w:val="-1"/>
          <w:w w:val="92"/>
          <w:rtl/>
        </w:rPr>
        <w:t>ی</w:t>
      </w:r>
      <w:proofErr w:type="spellEnd"/>
      <w:r>
        <w:rPr>
          <w:spacing w:val="-2"/>
          <w:rtl/>
        </w:rPr>
        <w:t xml:space="preserve"> </w:t>
      </w:r>
      <w:proofErr w:type="spellStart"/>
      <w:r>
        <w:rPr>
          <w:w w:val="48"/>
          <w:rtl/>
        </w:rPr>
        <w:t>ک</w:t>
      </w:r>
      <w:r>
        <w:rPr>
          <w:w w:val="64"/>
          <w:rtl/>
        </w:rPr>
        <w:t>س</w:t>
      </w:r>
      <w:r>
        <w:rPr>
          <w:spacing w:val="-1"/>
          <w:w w:val="92"/>
          <w:rtl/>
        </w:rPr>
        <w:t>ی</w:t>
      </w:r>
      <w:proofErr w:type="spellEnd"/>
      <w:r>
        <w:rPr>
          <w:spacing w:val="-2"/>
          <w:rtl/>
        </w:rPr>
        <w:t xml:space="preserve"> </w:t>
      </w:r>
      <w:proofErr w:type="spellStart"/>
      <w:r>
        <w:rPr>
          <w:rtl/>
        </w:rPr>
        <w:t>د</w:t>
      </w:r>
      <w:r>
        <w:rPr>
          <w:spacing w:val="1"/>
          <w:w w:val="38"/>
          <w:rtl/>
        </w:rPr>
        <w:t>ی</w:t>
      </w:r>
      <w:r>
        <w:rPr>
          <w:spacing w:val="-4"/>
          <w:w w:val="63"/>
          <w:rtl/>
        </w:rPr>
        <w:t>گ</w:t>
      </w:r>
      <w:r>
        <w:rPr>
          <w:rtl/>
        </w:rPr>
        <w:t>ر</w:t>
      </w:r>
      <w:proofErr w:type="spellEnd"/>
      <w:r>
        <w:rPr>
          <w:spacing w:val="1"/>
          <w:rtl/>
        </w:rPr>
        <w:t xml:space="preserve"> </w:t>
      </w:r>
      <w:proofErr w:type="spellStart"/>
      <w:r>
        <w:rPr>
          <w:rtl/>
        </w:rPr>
        <w:t>ز</w:t>
      </w:r>
      <w:r>
        <w:rPr>
          <w:spacing w:val="1"/>
          <w:w w:val="34"/>
          <w:rtl/>
        </w:rPr>
        <w:t>ب</w:t>
      </w:r>
      <w:r>
        <w:rPr>
          <w:spacing w:val="-3"/>
          <w:w w:val="111"/>
          <w:rtl/>
        </w:rPr>
        <w:t>ا</w:t>
      </w:r>
      <w:r>
        <w:rPr>
          <w:spacing w:val="-1"/>
          <w:rtl/>
        </w:rPr>
        <w:t>ن</w:t>
      </w:r>
      <w:proofErr w:type="spellEnd"/>
      <w:r>
        <w:rPr>
          <w:spacing w:val="2"/>
          <w:rtl/>
        </w:rPr>
        <w:t xml:space="preserve"> </w:t>
      </w:r>
      <w:proofErr w:type="spellStart"/>
      <w:r>
        <w:rPr>
          <w:w w:val="38"/>
          <w:rtl/>
        </w:rPr>
        <w:t>ی</w:t>
      </w:r>
      <w:r>
        <w:rPr>
          <w:spacing w:val="-3"/>
          <w:w w:val="111"/>
          <w:rtl/>
        </w:rPr>
        <w:t>ا</w:t>
      </w:r>
      <w:proofErr w:type="spellEnd"/>
      <w:r>
        <w:rPr>
          <w:spacing w:val="1"/>
          <w:rtl/>
        </w:rPr>
        <w:t xml:space="preserve"> </w:t>
      </w:r>
      <w:proofErr w:type="spellStart"/>
      <w:r>
        <w:rPr>
          <w:w w:val="64"/>
          <w:rtl/>
        </w:rPr>
        <w:t>ش</w:t>
      </w:r>
      <w:r>
        <w:rPr>
          <w:spacing w:val="-1"/>
          <w:w w:val="63"/>
          <w:rtl/>
        </w:rPr>
        <w:t>ک</w:t>
      </w:r>
      <w:r>
        <w:rPr>
          <w:spacing w:val="-2"/>
          <w:rtl/>
        </w:rPr>
        <w:t>ل</w:t>
      </w:r>
      <w:proofErr w:type="spellEnd"/>
      <w:r>
        <w:rPr>
          <w:spacing w:val="-2"/>
          <w:rtl/>
        </w:rPr>
        <w:t xml:space="preserve"> </w:t>
      </w:r>
      <w:proofErr w:type="spellStart"/>
      <w:r>
        <w:rPr>
          <w:w w:val="117"/>
          <w:rtl/>
        </w:rPr>
        <w:t>م</w:t>
      </w:r>
      <w:r>
        <w:rPr>
          <w:spacing w:val="1"/>
          <w:w w:val="34"/>
          <w:rtl/>
        </w:rPr>
        <w:t>ث</w:t>
      </w:r>
      <w:r>
        <w:rPr>
          <w:spacing w:val="-3"/>
          <w:w w:val="84"/>
          <w:rtl/>
        </w:rPr>
        <w:t>ا</w:t>
      </w:r>
      <w:r>
        <w:rPr>
          <w:w w:val="84"/>
          <w:rtl/>
        </w:rPr>
        <w:t>ل</w:t>
      </w:r>
      <w:proofErr w:type="spellEnd"/>
      <w:r>
        <w:rPr>
          <w:spacing w:val="2"/>
          <w:position w:val="3"/>
          <w:rtl/>
        </w:rPr>
        <w:t>ً</w:t>
      </w:r>
      <w:r>
        <w:rPr>
          <w:rtl/>
        </w:rPr>
        <w:t xml:space="preserve"> </w:t>
      </w:r>
      <w:proofErr w:type="spellStart"/>
      <w:r>
        <w:rPr>
          <w:w w:val="34"/>
          <w:rtl/>
        </w:rPr>
        <w:t>ب</w:t>
      </w:r>
      <w:r>
        <w:rPr>
          <w:spacing w:val="-3"/>
          <w:rtl/>
        </w:rPr>
        <w:t>ر</w:t>
      </w:r>
      <w:r>
        <w:rPr>
          <w:spacing w:val="1"/>
          <w:w w:val="38"/>
          <w:rtl/>
        </w:rPr>
        <w:t>ی</w:t>
      </w:r>
      <w:r>
        <w:rPr>
          <w:spacing w:val="-2"/>
          <w:rtl/>
        </w:rPr>
        <w:t>ل</w:t>
      </w:r>
      <w:proofErr w:type="spellEnd"/>
      <w:r>
        <w:rPr>
          <w:spacing w:val="-1"/>
          <w:rtl/>
        </w:rPr>
        <w:t>،</w:t>
      </w:r>
      <w:r>
        <w:rPr>
          <w:spacing w:val="2"/>
          <w:rtl/>
        </w:rPr>
        <w:t xml:space="preserve"> </w:t>
      </w:r>
      <w:proofErr w:type="spellStart"/>
      <w:r>
        <w:rPr>
          <w:w w:val="34"/>
          <w:rtl/>
        </w:rPr>
        <w:t>ٹ</w:t>
      </w:r>
      <w:r>
        <w:rPr>
          <w:spacing w:val="-3"/>
          <w:w w:val="111"/>
          <w:rtl/>
        </w:rPr>
        <w:t>ا</w:t>
      </w:r>
      <w:r>
        <w:rPr>
          <w:spacing w:val="-1"/>
          <w:w w:val="48"/>
          <w:rtl/>
        </w:rPr>
        <w:t>ک</w:t>
      </w:r>
      <w:r>
        <w:rPr>
          <w:spacing w:val="1"/>
          <w:w w:val="46"/>
          <w:rtl/>
        </w:rPr>
        <w:t>ن</w:t>
      </w:r>
      <w:r>
        <w:rPr>
          <w:spacing w:val="-2"/>
          <w:w w:val="115"/>
          <w:rtl/>
        </w:rPr>
        <w:t>گ</w:t>
      </w:r>
      <w:proofErr w:type="spellEnd"/>
      <w:r>
        <w:rPr>
          <w:spacing w:val="2"/>
          <w:rtl/>
        </w:rPr>
        <w:t xml:space="preserve"> </w:t>
      </w:r>
      <w:proofErr w:type="spellStart"/>
      <w:r>
        <w:rPr>
          <w:w w:val="34"/>
          <w:rtl/>
        </w:rPr>
        <w:t>ٹ</w:t>
      </w:r>
      <w:r>
        <w:rPr>
          <w:spacing w:val="-2"/>
          <w:w w:val="38"/>
          <w:rtl/>
        </w:rPr>
        <w:t>ی</w:t>
      </w:r>
      <w:r>
        <w:rPr>
          <w:spacing w:val="-2"/>
          <w:rtl/>
        </w:rPr>
        <w:t>پ</w:t>
      </w:r>
      <w:proofErr w:type="spellEnd"/>
      <w:r>
        <w:rPr>
          <w:spacing w:val="2"/>
          <w:rtl/>
        </w:rPr>
        <w:t xml:space="preserve"> </w:t>
      </w:r>
      <w:proofErr w:type="spellStart"/>
      <w:r>
        <w:rPr>
          <w:w w:val="38"/>
          <w:rtl/>
        </w:rPr>
        <w:t>ی</w:t>
      </w:r>
      <w:r>
        <w:rPr>
          <w:spacing w:val="-3"/>
          <w:w w:val="111"/>
          <w:rtl/>
        </w:rPr>
        <w:t>ا</w:t>
      </w:r>
      <w:proofErr w:type="spellEnd"/>
      <w:r>
        <w:rPr>
          <w:spacing w:val="1"/>
          <w:rtl/>
        </w:rPr>
        <w:t xml:space="preserve"> </w:t>
      </w:r>
      <w:proofErr w:type="spellStart"/>
      <w:r>
        <w:rPr>
          <w:rtl/>
        </w:rPr>
        <w:t>ڈی</w:t>
      </w:r>
      <w:proofErr w:type="spellEnd"/>
      <w:r>
        <w:rPr>
          <w:spacing w:val="-1"/>
          <w:rtl/>
        </w:rPr>
        <w:t xml:space="preserve"> </w:t>
      </w:r>
      <w:proofErr w:type="spellStart"/>
      <w:r>
        <w:rPr>
          <w:rtl/>
        </w:rPr>
        <w:t>و</w:t>
      </w:r>
      <w:r>
        <w:rPr>
          <w:spacing w:val="-2"/>
          <w:rtl/>
        </w:rPr>
        <w:t>ی</w:t>
      </w:r>
      <w:proofErr w:type="spellEnd"/>
      <w:r>
        <w:rPr>
          <w:spacing w:val="1"/>
          <w:rtl/>
        </w:rPr>
        <w:t xml:space="preserve"> </w:t>
      </w:r>
      <w:proofErr w:type="spellStart"/>
      <w:r>
        <w:rPr>
          <w:rtl/>
        </w:rPr>
        <w:t>ڈ</w:t>
      </w:r>
      <w:r>
        <w:rPr>
          <w:spacing w:val="-2"/>
          <w:rtl/>
        </w:rPr>
        <w:t>ی</w:t>
      </w:r>
      <w:proofErr w:type="spellEnd"/>
      <w:r>
        <w:rPr>
          <w:rtl/>
        </w:rPr>
        <w:t xml:space="preserve"> </w:t>
      </w:r>
      <w:proofErr w:type="spellStart"/>
      <w:r>
        <w:rPr>
          <w:w w:val="117"/>
          <w:rtl/>
        </w:rPr>
        <w:t>م</w:t>
      </w:r>
      <w:r>
        <w:rPr>
          <w:spacing w:val="1"/>
          <w:w w:val="38"/>
          <w:rtl/>
        </w:rPr>
        <w:t>ی</w:t>
      </w:r>
      <w:r>
        <w:rPr>
          <w:spacing w:val="-4"/>
          <w:rtl/>
        </w:rPr>
        <w:t>ں</w:t>
      </w:r>
      <w:proofErr w:type="spellEnd"/>
      <w:r>
        <w:rPr>
          <w:spacing w:val="1"/>
          <w:rtl/>
        </w:rPr>
        <w:t xml:space="preserve"> </w:t>
      </w:r>
      <w:proofErr w:type="spellStart"/>
      <w:r>
        <w:rPr>
          <w:w w:val="77"/>
          <w:rtl/>
        </w:rPr>
        <w:t>ض</w:t>
      </w:r>
      <w:r>
        <w:rPr>
          <w:rtl/>
        </w:rPr>
        <w:t>ر</w:t>
      </w:r>
      <w:r>
        <w:rPr>
          <w:spacing w:val="-2"/>
          <w:rtl/>
        </w:rPr>
        <w:t>و</w:t>
      </w:r>
      <w:r>
        <w:rPr>
          <w:rtl/>
        </w:rPr>
        <w:t>ر</w:t>
      </w:r>
      <w:r>
        <w:rPr>
          <w:spacing w:val="-2"/>
          <w:rtl/>
        </w:rPr>
        <w:t>ت</w:t>
      </w:r>
      <w:proofErr w:type="spellEnd"/>
      <w:r>
        <w:rPr>
          <w:spacing w:val="2"/>
          <w:rtl/>
        </w:rPr>
        <w:t xml:space="preserve"> </w:t>
      </w:r>
      <w:proofErr w:type="spellStart"/>
      <w:r>
        <w:rPr>
          <w:w w:val="63"/>
          <w:rtl/>
        </w:rPr>
        <w:t>ہ</w:t>
      </w:r>
      <w:r>
        <w:rPr>
          <w:spacing w:val="-2"/>
          <w:rtl/>
        </w:rPr>
        <w:t>و</w:t>
      </w:r>
      <w:proofErr w:type="spellEnd"/>
      <w:r>
        <w:rPr>
          <w:rtl/>
        </w:rPr>
        <w:t xml:space="preserve"> </w:t>
      </w:r>
      <w:proofErr w:type="spellStart"/>
      <w:r>
        <w:rPr>
          <w:w w:val="34"/>
          <w:rtl/>
        </w:rPr>
        <w:t>ت</w:t>
      </w:r>
      <w:r>
        <w:rPr>
          <w:spacing w:val="-2"/>
          <w:rtl/>
        </w:rPr>
        <w:t>و</w:t>
      </w:r>
      <w:proofErr w:type="spellEnd"/>
    </w:p>
    <w:p w14:paraId="511AE7F5" w14:textId="154EDB2B" w:rsidR="00AB3ABB" w:rsidRDefault="0017742F">
      <w:pPr>
        <w:pStyle w:val="BodyText"/>
        <w:bidi/>
        <w:spacing w:before="16"/>
        <w:ind w:left="118"/>
        <w:jc w:val="left"/>
      </w:pPr>
      <w:r>
        <w:rPr>
          <w:noProof/>
        </w:rPr>
        <mc:AlternateContent>
          <mc:Choice Requires="wpg">
            <w:drawing>
              <wp:anchor distT="0" distB="0" distL="114300" distR="114300" simplePos="0" relativeHeight="251660288" behindDoc="0" locked="0" layoutInCell="1" allowOverlap="1" wp14:anchorId="39A1601D" wp14:editId="3DA24571">
                <wp:simplePos x="0" y="0"/>
                <wp:positionH relativeFrom="page">
                  <wp:posOffset>909955</wp:posOffset>
                </wp:positionH>
                <wp:positionV relativeFrom="paragraph">
                  <wp:posOffset>279400</wp:posOffset>
                </wp:positionV>
                <wp:extent cx="469900" cy="466725"/>
                <wp:effectExtent l="0" t="0" r="0" b="0"/>
                <wp:wrapNone/>
                <wp:docPr id="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9900" cy="466725"/>
                          <a:chOff x="1433" y="440"/>
                          <a:chExt cx="740" cy="735"/>
                        </a:xfrm>
                      </wpg:grpSpPr>
                      <wps:wsp>
                        <wps:cNvPr id="6" name="Rectangle 8"/>
                        <wps:cNvSpPr>
                          <a:spLocks noChangeArrowheads="1"/>
                        </wps:cNvSpPr>
                        <wps:spPr bwMode="auto">
                          <a:xfrm>
                            <a:off x="1440" y="447"/>
                            <a:ext cx="725" cy="72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 name="Rectangle 7"/>
                        <wps:cNvSpPr>
                          <a:spLocks noChangeArrowheads="1"/>
                        </wps:cNvSpPr>
                        <wps:spPr bwMode="auto">
                          <a:xfrm>
                            <a:off x="1790" y="763"/>
                            <a:ext cx="282" cy="22"/>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 name="AutoShape 6"/>
                        <wps:cNvSpPr>
                          <a:spLocks/>
                        </wps:cNvSpPr>
                        <wps:spPr bwMode="auto">
                          <a:xfrm>
                            <a:off x="1821" y="814"/>
                            <a:ext cx="220" cy="236"/>
                          </a:xfrm>
                          <a:custGeom>
                            <a:avLst/>
                            <a:gdLst>
                              <a:gd name="T0" fmla="+- 0 1864 1822"/>
                              <a:gd name="T1" fmla="*/ T0 w 220"/>
                              <a:gd name="T2" fmla="+- 0 1010 815"/>
                              <a:gd name="T3" fmla="*/ 1010 h 236"/>
                              <a:gd name="T4" fmla="+- 0 1822 1822"/>
                              <a:gd name="T5" fmla="*/ T4 w 220"/>
                              <a:gd name="T6" fmla="+- 0 1010 815"/>
                              <a:gd name="T7" fmla="*/ 1010 h 236"/>
                              <a:gd name="T8" fmla="+- 0 1822 1822"/>
                              <a:gd name="T9" fmla="*/ T8 w 220"/>
                              <a:gd name="T10" fmla="+- 0 1051 815"/>
                              <a:gd name="T11" fmla="*/ 1051 h 236"/>
                              <a:gd name="T12" fmla="+- 0 1864 1822"/>
                              <a:gd name="T13" fmla="*/ T12 w 220"/>
                              <a:gd name="T14" fmla="+- 0 1051 815"/>
                              <a:gd name="T15" fmla="*/ 1051 h 236"/>
                              <a:gd name="T16" fmla="+- 0 1864 1822"/>
                              <a:gd name="T17" fmla="*/ T16 w 220"/>
                              <a:gd name="T18" fmla="+- 0 1010 815"/>
                              <a:gd name="T19" fmla="*/ 1010 h 236"/>
                              <a:gd name="T20" fmla="+- 0 1864 1822"/>
                              <a:gd name="T21" fmla="*/ T20 w 220"/>
                              <a:gd name="T22" fmla="+- 0 945 815"/>
                              <a:gd name="T23" fmla="*/ 945 h 236"/>
                              <a:gd name="T24" fmla="+- 0 1822 1822"/>
                              <a:gd name="T25" fmla="*/ T24 w 220"/>
                              <a:gd name="T26" fmla="+- 0 945 815"/>
                              <a:gd name="T27" fmla="*/ 945 h 236"/>
                              <a:gd name="T28" fmla="+- 0 1822 1822"/>
                              <a:gd name="T29" fmla="*/ T28 w 220"/>
                              <a:gd name="T30" fmla="+- 0 986 815"/>
                              <a:gd name="T31" fmla="*/ 986 h 236"/>
                              <a:gd name="T32" fmla="+- 0 1864 1822"/>
                              <a:gd name="T33" fmla="*/ T32 w 220"/>
                              <a:gd name="T34" fmla="+- 0 986 815"/>
                              <a:gd name="T35" fmla="*/ 986 h 236"/>
                              <a:gd name="T36" fmla="+- 0 1864 1822"/>
                              <a:gd name="T37" fmla="*/ T36 w 220"/>
                              <a:gd name="T38" fmla="+- 0 945 815"/>
                              <a:gd name="T39" fmla="*/ 945 h 236"/>
                              <a:gd name="T40" fmla="+- 0 1864 1822"/>
                              <a:gd name="T41" fmla="*/ T40 w 220"/>
                              <a:gd name="T42" fmla="+- 0 880 815"/>
                              <a:gd name="T43" fmla="*/ 880 h 236"/>
                              <a:gd name="T44" fmla="+- 0 1822 1822"/>
                              <a:gd name="T45" fmla="*/ T44 w 220"/>
                              <a:gd name="T46" fmla="+- 0 880 815"/>
                              <a:gd name="T47" fmla="*/ 880 h 236"/>
                              <a:gd name="T48" fmla="+- 0 1822 1822"/>
                              <a:gd name="T49" fmla="*/ T48 w 220"/>
                              <a:gd name="T50" fmla="+- 0 921 815"/>
                              <a:gd name="T51" fmla="*/ 921 h 236"/>
                              <a:gd name="T52" fmla="+- 0 1864 1822"/>
                              <a:gd name="T53" fmla="*/ T52 w 220"/>
                              <a:gd name="T54" fmla="+- 0 921 815"/>
                              <a:gd name="T55" fmla="*/ 921 h 236"/>
                              <a:gd name="T56" fmla="+- 0 1864 1822"/>
                              <a:gd name="T57" fmla="*/ T56 w 220"/>
                              <a:gd name="T58" fmla="+- 0 880 815"/>
                              <a:gd name="T59" fmla="*/ 880 h 236"/>
                              <a:gd name="T60" fmla="+- 0 1864 1822"/>
                              <a:gd name="T61" fmla="*/ T60 w 220"/>
                              <a:gd name="T62" fmla="+- 0 815 815"/>
                              <a:gd name="T63" fmla="*/ 815 h 236"/>
                              <a:gd name="T64" fmla="+- 0 1822 1822"/>
                              <a:gd name="T65" fmla="*/ T64 w 220"/>
                              <a:gd name="T66" fmla="+- 0 815 815"/>
                              <a:gd name="T67" fmla="*/ 815 h 236"/>
                              <a:gd name="T68" fmla="+- 0 1822 1822"/>
                              <a:gd name="T69" fmla="*/ T68 w 220"/>
                              <a:gd name="T70" fmla="+- 0 856 815"/>
                              <a:gd name="T71" fmla="*/ 856 h 236"/>
                              <a:gd name="T72" fmla="+- 0 1864 1822"/>
                              <a:gd name="T73" fmla="*/ T72 w 220"/>
                              <a:gd name="T74" fmla="+- 0 856 815"/>
                              <a:gd name="T75" fmla="*/ 856 h 236"/>
                              <a:gd name="T76" fmla="+- 0 1864 1822"/>
                              <a:gd name="T77" fmla="*/ T76 w 220"/>
                              <a:gd name="T78" fmla="+- 0 815 815"/>
                              <a:gd name="T79" fmla="*/ 815 h 236"/>
                              <a:gd name="T80" fmla="+- 0 1952 1822"/>
                              <a:gd name="T81" fmla="*/ T80 w 220"/>
                              <a:gd name="T82" fmla="+- 0 1010 815"/>
                              <a:gd name="T83" fmla="*/ 1010 h 236"/>
                              <a:gd name="T84" fmla="+- 0 1910 1822"/>
                              <a:gd name="T85" fmla="*/ T84 w 220"/>
                              <a:gd name="T86" fmla="+- 0 1010 815"/>
                              <a:gd name="T87" fmla="*/ 1010 h 236"/>
                              <a:gd name="T88" fmla="+- 0 1910 1822"/>
                              <a:gd name="T89" fmla="*/ T88 w 220"/>
                              <a:gd name="T90" fmla="+- 0 1051 815"/>
                              <a:gd name="T91" fmla="*/ 1051 h 236"/>
                              <a:gd name="T92" fmla="+- 0 1952 1822"/>
                              <a:gd name="T93" fmla="*/ T92 w 220"/>
                              <a:gd name="T94" fmla="+- 0 1051 815"/>
                              <a:gd name="T95" fmla="*/ 1051 h 236"/>
                              <a:gd name="T96" fmla="+- 0 1952 1822"/>
                              <a:gd name="T97" fmla="*/ T96 w 220"/>
                              <a:gd name="T98" fmla="+- 0 1010 815"/>
                              <a:gd name="T99" fmla="*/ 1010 h 236"/>
                              <a:gd name="T100" fmla="+- 0 1952 1822"/>
                              <a:gd name="T101" fmla="*/ T100 w 220"/>
                              <a:gd name="T102" fmla="+- 0 945 815"/>
                              <a:gd name="T103" fmla="*/ 945 h 236"/>
                              <a:gd name="T104" fmla="+- 0 1910 1822"/>
                              <a:gd name="T105" fmla="*/ T104 w 220"/>
                              <a:gd name="T106" fmla="+- 0 945 815"/>
                              <a:gd name="T107" fmla="*/ 945 h 236"/>
                              <a:gd name="T108" fmla="+- 0 1910 1822"/>
                              <a:gd name="T109" fmla="*/ T108 w 220"/>
                              <a:gd name="T110" fmla="+- 0 986 815"/>
                              <a:gd name="T111" fmla="*/ 986 h 236"/>
                              <a:gd name="T112" fmla="+- 0 1952 1822"/>
                              <a:gd name="T113" fmla="*/ T112 w 220"/>
                              <a:gd name="T114" fmla="+- 0 986 815"/>
                              <a:gd name="T115" fmla="*/ 986 h 236"/>
                              <a:gd name="T116" fmla="+- 0 1952 1822"/>
                              <a:gd name="T117" fmla="*/ T116 w 220"/>
                              <a:gd name="T118" fmla="+- 0 945 815"/>
                              <a:gd name="T119" fmla="*/ 945 h 236"/>
                              <a:gd name="T120" fmla="+- 0 1952 1822"/>
                              <a:gd name="T121" fmla="*/ T120 w 220"/>
                              <a:gd name="T122" fmla="+- 0 880 815"/>
                              <a:gd name="T123" fmla="*/ 880 h 236"/>
                              <a:gd name="T124" fmla="+- 0 1910 1822"/>
                              <a:gd name="T125" fmla="*/ T124 w 220"/>
                              <a:gd name="T126" fmla="+- 0 880 815"/>
                              <a:gd name="T127" fmla="*/ 880 h 236"/>
                              <a:gd name="T128" fmla="+- 0 1910 1822"/>
                              <a:gd name="T129" fmla="*/ T128 w 220"/>
                              <a:gd name="T130" fmla="+- 0 921 815"/>
                              <a:gd name="T131" fmla="*/ 921 h 236"/>
                              <a:gd name="T132" fmla="+- 0 1952 1822"/>
                              <a:gd name="T133" fmla="*/ T132 w 220"/>
                              <a:gd name="T134" fmla="+- 0 921 815"/>
                              <a:gd name="T135" fmla="*/ 921 h 236"/>
                              <a:gd name="T136" fmla="+- 0 1952 1822"/>
                              <a:gd name="T137" fmla="*/ T136 w 220"/>
                              <a:gd name="T138" fmla="+- 0 880 815"/>
                              <a:gd name="T139" fmla="*/ 880 h 236"/>
                              <a:gd name="T140" fmla="+- 0 1952 1822"/>
                              <a:gd name="T141" fmla="*/ T140 w 220"/>
                              <a:gd name="T142" fmla="+- 0 815 815"/>
                              <a:gd name="T143" fmla="*/ 815 h 236"/>
                              <a:gd name="T144" fmla="+- 0 1910 1822"/>
                              <a:gd name="T145" fmla="*/ T144 w 220"/>
                              <a:gd name="T146" fmla="+- 0 815 815"/>
                              <a:gd name="T147" fmla="*/ 815 h 236"/>
                              <a:gd name="T148" fmla="+- 0 1910 1822"/>
                              <a:gd name="T149" fmla="*/ T148 w 220"/>
                              <a:gd name="T150" fmla="+- 0 856 815"/>
                              <a:gd name="T151" fmla="*/ 856 h 236"/>
                              <a:gd name="T152" fmla="+- 0 1952 1822"/>
                              <a:gd name="T153" fmla="*/ T152 w 220"/>
                              <a:gd name="T154" fmla="+- 0 856 815"/>
                              <a:gd name="T155" fmla="*/ 856 h 236"/>
                              <a:gd name="T156" fmla="+- 0 1952 1822"/>
                              <a:gd name="T157" fmla="*/ T156 w 220"/>
                              <a:gd name="T158" fmla="+- 0 815 815"/>
                              <a:gd name="T159" fmla="*/ 815 h 236"/>
                              <a:gd name="T160" fmla="+- 0 2041 1822"/>
                              <a:gd name="T161" fmla="*/ T160 w 220"/>
                              <a:gd name="T162" fmla="+- 0 1010 815"/>
                              <a:gd name="T163" fmla="*/ 1010 h 236"/>
                              <a:gd name="T164" fmla="+- 0 1999 1822"/>
                              <a:gd name="T165" fmla="*/ T164 w 220"/>
                              <a:gd name="T166" fmla="+- 0 1010 815"/>
                              <a:gd name="T167" fmla="*/ 1010 h 236"/>
                              <a:gd name="T168" fmla="+- 0 1999 1822"/>
                              <a:gd name="T169" fmla="*/ T168 w 220"/>
                              <a:gd name="T170" fmla="+- 0 1051 815"/>
                              <a:gd name="T171" fmla="*/ 1051 h 236"/>
                              <a:gd name="T172" fmla="+- 0 2041 1822"/>
                              <a:gd name="T173" fmla="*/ T172 w 220"/>
                              <a:gd name="T174" fmla="+- 0 1051 815"/>
                              <a:gd name="T175" fmla="*/ 1051 h 236"/>
                              <a:gd name="T176" fmla="+- 0 2041 1822"/>
                              <a:gd name="T177" fmla="*/ T176 w 220"/>
                              <a:gd name="T178" fmla="+- 0 1010 815"/>
                              <a:gd name="T179" fmla="*/ 1010 h 236"/>
                              <a:gd name="T180" fmla="+- 0 2041 1822"/>
                              <a:gd name="T181" fmla="*/ T180 w 220"/>
                              <a:gd name="T182" fmla="+- 0 945 815"/>
                              <a:gd name="T183" fmla="*/ 945 h 236"/>
                              <a:gd name="T184" fmla="+- 0 1999 1822"/>
                              <a:gd name="T185" fmla="*/ T184 w 220"/>
                              <a:gd name="T186" fmla="+- 0 945 815"/>
                              <a:gd name="T187" fmla="*/ 945 h 236"/>
                              <a:gd name="T188" fmla="+- 0 1999 1822"/>
                              <a:gd name="T189" fmla="*/ T188 w 220"/>
                              <a:gd name="T190" fmla="+- 0 986 815"/>
                              <a:gd name="T191" fmla="*/ 986 h 236"/>
                              <a:gd name="T192" fmla="+- 0 2041 1822"/>
                              <a:gd name="T193" fmla="*/ T192 w 220"/>
                              <a:gd name="T194" fmla="+- 0 986 815"/>
                              <a:gd name="T195" fmla="*/ 986 h 236"/>
                              <a:gd name="T196" fmla="+- 0 2041 1822"/>
                              <a:gd name="T197" fmla="*/ T196 w 220"/>
                              <a:gd name="T198" fmla="+- 0 945 815"/>
                              <a:gd name="T199" fmla="*/ 945 h 236"/>
                              <a:gd name="T200" fmla="+- 0 2041 1822"/>
                              <a:gd name="T201" fmla="*/ T200 w 220"/>
                              <a:gd name="T202" fmla="+- 0 880 815"/>
                              <a:gd name="T203" fmla="*/ 880 h 236"/>
                              <a:gd name="T204" fmla="+- 0 1999 1822"/>
                              <a:gd name="T205" fmla="*/ T204 w 220"/>
                              <a:gd name="T206" fmla="+- 0 880 815"/>
                              <a:gd name="T207" fmla="*/ 880 h 236"/>
                              <a:gd name="T208" fmla="+- 0 1999 1822"/>
                              <a:gd name="T209" fmla="*/ T208 w 220"/>
                              <a:gd name="T210" fmla="+- 0 921 815"/>
                              <a:gd name="T211" fmla="*/ 921 h 236"/>
                              <a:gd name="T212" fmla="+- 0 2041 1822"/>
                              <a:gd name="T213" fmla="*/ T212 w 220"/>
                              <a:gd name="T214" fmla="+- 0 921 815"/>
                              <a:gd name="T215" fmla="*/ 921 h 236"/>
                              <a:gd name="T216" fmla="+- 0 2041 1822"/>
                              <a:gd name="T217" fmla="*/ T216 w 220"/>
                              <a:gd name="T218" fmla="+- 0 880 815"/>
                              <a:gd name="T219" fmla="*/ 880 h 236"/>
                              <a:gd name="T220" fmla="+- 0 2041 1822"/>
                              <a:gd name="T221" fmla="*/ T220 w 220"/>
                              <a:gd name="T222" fmla="+- 0 815 815"/>
                              <a:gd name="T223" fmla="*/ 815 h 236"/>
                              <a:gd name="T224" fmla="+- 0 1999 1822"/>
                              <a:gd name="T225" fmla="*/ T224 w 220"/>
                              <a:gd name="T226" fmla="+- 0 815 815"/>
                              <a:gd name="T227" fmla="*/ 815 h 236"/>
                              <a:gd name="T228" fmla="+- 0 1999 1822"/>
                              <a:gd name="T229" fmla="*/ T228 w 220"/>
                              <a:gd name="T230" fmla="+- 0 856 815"/>
                              <a:gd name="T231" fmla="*/ 856 h 236"/>
                              <a:gd name="T232" fmla="+- 0 2041 1822"/>
                              <a:gd name="T233" fmla="*/ T232 w 220"/>
                              <a:gd name="T234" fmla="+- 0 856 815"/>
                              <a:gd name="T235" fmla="*/ 856 h 236"/>
                              <a:gd name="T236" fmla="+- 0 2041 1822"/>
                              <a:gd name="T237" fmla="*/ T236 w 220"/>
                              <a:gd name="T238" fmla="+- 0 815 815"/>
                              <a:gd name="T239" fmla="*/ 815 h 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20" h="236">
                                <a:moveTo>
                                  <a:pt x="42" y="195"/>
                                </a:moveTo>
                                <a:lnTo>
                                  <a:pt x="0" y="195"/>
                                </a:lnTo>
                                <a:lnTo>
                                  <a:pt x="0" y="236"/>
                                </a:lnTo>
                                <a:lnTo>
                                  <a:pt x="42" y="236"/>
                                </a:lnTo>
                                <a:lnTo>
                                  <a:pt x="42" y="195"/>
                                </a:lnTo>
                                <a:moveTo>
                                  <a:pt x="42" y="130"/>
                                </a:moveTo>
                                <a:lnTo>
                                  <a:pt x="0" y="130"/>
                                </a:lnTo>
                                <a:lnTo>
                                  <a:pt x="0" y="171"/>
                                </a:lnTo>
                                <a:lnTo>
                                  <a:pt x="42" y="171"/>
                                </a:lnTo>
                                <a:lnTo>
                                  <a:pt x="42" y="130"/>
                                </a:lnTo>
                                <a:moveTo>
                                  <a:pt x="42" y="65"/>
                                </a:moveTo>
                                <a:lnTo>
                                  <a:pt x="0" y="65"/>
                                </a:lnTo>
                                <a:lnTo>
                                  <a:pt x="0" y="106"/>
                                </a:lnTo>
                                <a:lnTo>
                                  <a:pt x="42" y="106"/>
                                </a:lnTo>
                                <a:lnTo>
                                  <a:pt x="42" y="65"/>
                                </a:lnTo>
                                <a:moveTo>
                                  <a:pt x="42" y="0"/>
                                </a:moveTo>
                                <a:lnTo>
                                  <a:pt x="0" y="0"/>
                                </a:lnTo>
                                <a:lnTo>
                                  <a:pt x="0" y="41"/>
                                </a:lnTo>
                                <a:lnTo>
                                  <a:pt x="42" y="41"/>
                                </a:lnTo>
                                <a:lnTo>
                                  <a:pt x="42" y="0"/>
                                </a:lnTo>
                                <a:moveTo>
                                  <a:pt x="130" y="195"/>
                                </a:moveTo>
                                <a:lnTo>
                                  <a:pt x="88" y="195"/>
                                </a:lnTo>
                                <a:lnTo>
                                  <a:pt x="88" y="236"/>
                                </a:lnTo>
                                <a:lnTo>
                                  <a:pt x="130" y="236"/>
                                </a:lnTo>
                                <a:lnTo>
                                  <a:pt x="130" y="195"/>
                                </a:lnTo>
                                <a:moveTo>
                                  <a:pt x="130" y="130"/>
                                </a:moveTo>
                                <a:lnTo>
                                  <a:pt x="88" y="130"/>
                                </a:lnTo>
                                <a:lnTo>
                                  <a:pt x="88" y="171"/>
                                </a:lnTo>
                                <a:lnTo>
                                  <a:pt x="130" y="171"/>
                                </a:lnTo>
                                <a:lnTo>
                                  <a:pt x="130" y="130"/>
                                </a:lnTo>
                                <a:moveTo>
                                  <a:pt x="130" y="65"/>
                                </a:moveTo>
                                <a:lnTo>
                                  <a:pt x="88" y="65"/>
                                </a:lnTo>
                                <a:lnTo>
                                  <a:pt x="88" y="106"/>
                                </a:lnTo>
                                <a:lnTo>
                                  <a:pt x="130" y="106"/>
                                </a:lnTo>
                                <a:lnTo>
                                  <a:pt x="130" y="65"/>
                                </a:lnTo>
                                <a:moveTo>
                                  <a:pt x="130" y="0"/>
                                </a:moveTo>
                                <a:lnTo>
                                  <a:pt x="88" y="0"/>
                                </a:lnTo>
                                <a:lnTo>
                                  <a:pt x="88" y="41"/>
                                </a:lnTo>
                                <a:lnTo>
                                  <a:pt x="130" y="41"/>
                                </a:lnTo>
                                <a:lnTo>
                                  <a:pt x="130" y="0"/>
                                </a:lnTo>
                                <a:moveTo>
                                  <a:pt x="219" y="195"/>
                                </a:moveTo>
                                <a:lnTo>
                                  <a:pt x="177" y="195"/>
                                </a:lnTo>
                                <a:lnTo>
                                  <a:pt x="177" y="236"/>
                                </a:lnTo>
                                <a:lnTo>
                                  <a:pt x="219" y="236"/>
                                </a:lnTo>
                                <a:lnTo>
                                  <a:pt x="219" y="195"/>
                                </a:lnTo>
                                <a:moveTo>
                                  <a:pt x="219" y="130"/>
                                </a:moveTo>
                                <a:lnTo>
                                  <a:pt x="177" y="130"/>
                                </a:lnTo>
                                <a:lnTo>
                                  <a:pt x="177" y="171"/>
                                </a:lnTo>
                                <a:lnTo>
                                  <a:pt x="219" y="171"/>
                                </a:lnTo>
                                <a:lnTo>
                                  <a:pt x="219" y="130"/>
                                </a:lnTo>
                                <a:moveTo>
                                  <a:pt x="219" y="65"/>
                                </a:moveTo>
                                <a:lnTo>
                                  <a:pt x="177" y="65"/>
                                </a:lnTo>
                                <a:lnTo>
                                  <a:pt x="177" y="106"/>
                                </a:lnTo>
                                <a:lnTo>
                                  <a:pt x="219" y="106"/>
                                </a:lnTo>
                                <a:lnTo>
                                  <a:pt x="219" y="65"/>
                                </a:lnTo>
                                <a:moveTo>
                                  <a:pt x="219" y="0"/>
                                </a:moveTo>
                                <a:lnTo>
                                  <a:pt x="177" y="0"/>
                                </a:lnTo>
                                <a:lnTo>
                                  <a:pt x="177" y="41"/>
                                </a:lnTo>
                                <a:lnTo>
                                  <a:pt x="219" y="41"/>
                                </a:lnTo>
                                <a:lnTo>
                                  <a:pt x="219" y="0"/>
                                </a:lnTo>
                              </a:path>
                            </a:pathLst>
                          </a:custGeom>
                          <a:solidFill>
                            <a:srgbClr val="FFFF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AutoShape 5"/>
                        <wps:cNvSpPr>
                          <a:spLocks/>
                        </wps:cNvSpPr>
                        <wps:spPr bwMode="auto">
                          <a:xfrm>
                            <a:off x="1440" y="447"/>
                            <a:ext cx="725" cy="720"/>
                          </a:xfrm>
                          <a:custGeom>
                            <a:avLst/>
                            <a:gdLst>
                              <a:gd name="T0" fmla="+- 0 2165 1440"/>
                              <a:gd name="T1" fmla="*/ T0 w 725"/>
                              <a:gd name="T2" fmla="+- 0 1168 448"/>
                              <a:gd name="T3" fmla="*/ 1168 h 720"/>
                              <a:gd name="T4" fmla="+- 0 2165 1440"/>
                              <a:gd name="T5" fmla="*/ T4 w 725"/>
                              <a:gd name="T6" fmla="+- 0 448 448"/>
                              <a:gd name="T7" fmla="*/ 448 h 720"/>
                              <a:gd name="T8" fmla="+- 0 1440 1440"/>
                              <a:gd name="T9" fmla="*/ T8 w 725"/>
                              <a:gd name="T10" fmla="+- 0 448 448"/>
                              <a:gd name="T11" fmla="*/ 448 h 720"/>
                              <a:gd name="T12" fmla="+- 0 1440 1440"/>
                              <a:gd name="T13" fmla="*/ T12 w 725"/>
                              <a:gd name="T14" fmla="+- 0 1168 448"/>
                              <a:gd name="T15" fmla="*/ 1168 h 720"/>
                              <a:gd name="T16" fmla="+- 0 1559 1440"/>
                              <a:gd name="T17" fmla="*/ T16 w 725"/>
                              <a:gd name="T18" fmla="+- 0 900 448"/>
                              <a:gd name="T19" fmla="*/ 900 h 720"/>
                              <a:gd name="T20" fmla="+- 0 1554 1440"/>
                              <a:gd name="T21" fmla="*/ T20 w 725"/>
                              <a:gd name="T22" fmla="+- 0 934 448"/>
                              <a:gd name="T23" fmla="*/ 934 h 720"/>
                              <a:gd name="T24" fmla="+- 0 1528 1440"/>
                              <a:gd name="T25" fmla="*/ T24 w 725"/>
                              <a:gd name="T26" fmla="+- 0 962 448"/>
                              <a:gd name="T27" fmla="*/ 962 h 720"/>
                              <a:gd name="T28" fmla="+- 0 1509 1440"/>
                              <a:gd name="T29" fmla="*/ T28 w 725"/>
                              <a:gd name="T30" fmla="+- 0 989 448"/>
                              <a:gd name="T31" fmla="*/ 989 h 720"/>
                              <a:gd name="T32" fmla="+- 0 1500 1440"/>
                              <a:gd name="T33" fmla="*/ T32 w 725"/>
                              <a:gd name="T34" fmla="+- 0 1015 448"/>
                              <a:gd name="T35" fmla="*/ 1015 h 720"/>
                              <a:gd name="T36" fmla="+- 0 1507 1440"/>
                              <a:gd name="T37" fmla="*/ T36 w 725"/>
                              <a:gd name="T38" fmla="+- 0 1046 448"/>
                              <a:gd name="T39" fmla="*/ 1046 h 720"/>
                              <a:gd name="T40" fmla="+- 0 1526 1440"/>
                              <a:gd name="T41" fmla="*/ T40 w 725"/>
                              <a:gd name="T42" fmla="+- 0 1072 448"/>
                              <a:gd name="T43" fmla="*/ 1072 h 720"/>
                              <a:gd name="T44" fmla="+- 0 1559 1440"/>
                              <a:gd name="T45" fmla="*/ T44 w 725"/>
                              <a:gd name="T46" fmla="+- 0 1099 448"/>
                              <a:gd name="T47" fmla="*/ 1099 h 720"/>
                              <a:gd name="T48" fmla="+- 0 1611 1440"/>
                              <a:gd name="T49" fmla="*/ T48 w 725"/>
                              <a:gd name="T50" fmla="+- 0 1106 448"/>
                              <a:gd name="T51" fmla="*/ 1106 h 720"/>
                              <a:gd name="T52" fmla="+- 0 1653 1440"/>
                              <a:gd name="T53" fmla="*/ T52 w 725"/>
                              <a:gd name="T54" fmla="+- 0 1099 448"/>
                              <a:gd name="T55" fmla="*/ 1099 h 720"/>
                              <a:gd name="T56" fmla="+- 0 1693 1440"/>
                              <a:gd name="T57" fmla="*/ T56 w 725"/>
                              <a:gd name="T58" fmla="+- 0 1073 448"/>
                              <a:gd name="T59" fmla="*/ 1073 h 720"/>
                              <a:gd name="T60" fmla="+- 0 1713 1440"/>
                              <a:gd name="T61" fmla="*/ T60 w 725"/>
                              <a:gd name="T62" fmla="+- 0 1045 448"/>
                              <a:gd name="T63" fmla="*/ 1045 h 720"/>
                              <a:gd name="T64" fmla="+- 0 1719 1440"/>
                              <a:gd name="T65" fmla="*/ T64 w 725"/>
                              <a:gd name="T66" fmla="+- 0 1013 448"/>
                              <a:gd name="T67" fmla="*/ 1013 h 720"/>
                              <a:gd name="T68" fmla="+- 0 1713 1440"/>
                              <a:gd name="T69" fmla="*/ T68 w 725"/>
                              <a:gd name="T70" fmla="+- 0 989 448"/>
                              <a:gd name="T71" fmla="*/ 989 h 720"/>
                              <a:gd name="T72" fmla="+- 0 1694 1440"/>
                              <a:gd name="T73" fmla="*/ T72 w 725"/>
                              <a:gd name="T74" fmla="+- 0 962 448"/>
                              <a:gd name="T75" fmla="*/ 962 h 720"/>
                              <a:gd name="T76" fmla="+- 0 1670 1440"/>
                              <a:gd name="T77" fmla="*/ T76 w 725"/>
                              <a:gd name="T78" fmla="+- 0 935 448"/>
                              <a:gd name="T79" fmla="*/ 935 h 720"/>
                              <a:gd name="T80" fmla="+- 0 1662 1440"/>
                              <a:gd name="T81" fmla="*/ T80 w 725"/>
                              <a:gd name="T82" fmla="+- 0 900 448"/>
                              <a:gd name="T83" fmla="*/ 900 h 720"/>
                              <a:gd name="T84" fmla="+- 0 1662 1440"/>
                              <a:gd name="T85" fmla="*/ T84 w 725"/>
                              <a:gd name="T86" fmla="+- 0 701 448"/>
                              <a:gd name="T87" fmla="*/ 701 h 720"/>
                              <a:gd name="T88" fmla="+- 0 1682 1440"/>
                              <a:gd name="T89" fmla="*/ T88 w 725"/>
                              <a:gd name="T90" fmla="+- 0 667 448"/>
                              <a:gd name="T91" fmla="*/ 667 h 720"/>
                              <a:gd name="T92" fmla="+- 0 1705 1440"/>
                              <a:gd name="T93" fmla="*/ T92 w 725"/>
                              <a:gd name="T94" fmla="+- 0 640 448"/>
                              <a:gd name="T95" fmla="*/ 640 h 720"/>
                              <a:gd name="T96" fmla="+- 0 1717 1440"/>
                              <a:gd name="T97" fmla="*/ T96 w 725"/>
                              <a:gd name="T98" fmla="+- 0 620 448"/>
                              <a:gd name="T99" fmla="*/ 620 h 720"/>
                              <a:gd name="T100" fmla="+- 0 1718 1440"/>
                              <a:gd name="T101" fmla="*/ T100 w 725"/>
                              <a:gd name="T102" fmla="+- 0 586 448"/>
                              <a:gd name="T103" fmla="*/ 586 h 720"/>
                              <a:gd name="T104" fmla="+- 0 1705 1440"/>
                              <a:gd name="T105" fmla="*/ T104 w 725"/>
                              <a:gd name="T106" fmla="+- 0 558 448"/>
                              <a:gd name="T107" fmla="*/ 558 h 720"/>
                              <a:gd name="T108" fmla="+- 0 1676 1440"/>
                              <a:gd name="T109" fmla="*/ T108 w 725"/>
                              <a:gd name="T110" fmla="+- 0 532 448"/>
                              <a:gd name="T111" fmla="*/ 532 h 720"/>
                              <a:gd name="T112" fmla="+- 0 1636 1440"/>
                              <a:gd name="T113" fmla="*/ T112 w 725"/>
                              <a:gd name="T114" fmla="+- 0 517 448"/>
                              <a:gd name="T115" fmla="*/ 517 h 720"/>
                              <a:gd name="T116" fmla="+- 0 1582 1440"/>
                              <a:gd name="T117" fmla="*/ T116 w 725"/>
                              <a:gd name="T118" fmla="+- 0 516 448"/>
                              <a:gd name="T119" fmla="*/ 516 h 720"/>
                              <a:gd name="T120" fmla="+- 0 1542 1440"/>
                              <a:gd name="T121" fmla="*/ T120 w 725"/>
                              <a:gd name="T122" fmla="+- 0 531 448"/>
                              <a:gd name="T123" fmla="*/ 531 h 720"/>
                              <a:gd name="T124" fmla="+- 0 1515 1440"/>
                              <a:gd name="T125" fmla="*/ T124 w 725"/>
                              <a:gd name="T126" fmla="+- 0 556 448"/>
                              <a:gd name="T127" fmla="*/ 556 h 720"/>
                              <a:gd name="T128" fmla="+- 0 1500 1440"/>
                              <a:gd name="T129" fmla="*/ T128 w 725"/>
                              <a:gd name="T130" fmla="+- 0 592 448"/>
                              <a:gd name="T131" fmla="*/ 592 h 720"/>
                              <a:gd name="T132" fmla="+- 0 1503 1440"/>
                              <a:gd name="T133" fmla="*/ T132 w 725"/>
                              <a:gd name="T134" fmla="+- 0 619 448"/>
                              <a:gd name="T135" fmla="*/ 619 h 720"/>
                              <a:gd name="T136" fmla="+- 0 1517 1440"/>
                              <a:gd name="T137" fmla="*/ T136 w 725"/>
                              <a:gd name="T138" fmla="+- 0 643 448"/>
                              <a:gd name="T139" fmla="*/ 643 h 720"/>
                              <a:gd name="T140" fmla="+- 0 1541 1440"/>
                              <a:gd name="T141" fmla="*/ T140 w 725"/>
                              <a:gd name="T142" fmla="+- 0 668 448"/>
                              <a:gd name="T143" fmla="*/ 668 h 720"/>
                              <a:gd name="T144" fmla="+- 0 1559 1440"/>
                              <a:gd name="T145" fmla="*/ T144 w 725"/>
                              <a:gd name="T146" fmla="+- 0 701 448"/>
                              <a:gd name="T147" fmla="*/ 701 h 720"/>
                              <a:gd name="T148" fmla="+- 0 1559 1440"/>
                              <a:gd name="T149" fmla="*/ T148 w 725"/>
                              <a:gd name="T150" fmla="+- 0 900 448"/>
                              <a:gd name="T151" fmla="*/ 900 h 720"/>
                              <a:gd name="T152" fmla="+- 0 2081 1440"/>
                              <a:gd name="T153" fmla="*/ T152 w 725"/>
                              <a:gd name="T154" fmla="+- 0 510 448"/>
                              <a:gd name="T155" fmla="*/ 510 h 720"/>
                              <a:gd name="T156" fmla="+- 0 1781 1440"/>
                              <a:gd name="T157" fmla="*/ T156 w 725"/>
                              <a:gd name="T158" fmla="+- 0 723 448"/>
                              <a:gd name="T159" fmla="*/ 723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725" h="720">
                                <a:moveTo>
                                  <a:pt x="359" y="720"/>
                                </a:moveTo>
                                <a:lnTo>
                                  <a:pt x="725" y="720"/>
                                </a:lnTo>
                                <a:lnTo>
                                  <a:pt x="725" y="356"/>
                                </a:lnTo>
                                <a:lnTo>
                                  <a:pt x="725" y="0"/>
                                </a:lnTo>
                                <a:lnTo>
                                  <a:pt x="342" y="0"/>
                                </a:lnTo>
                                <a:lnTo>
                                  <a:pt x="0" y="0"/>
                                </a:lnTo>
                                <a:lnTo>
                                  <a:pt x="0" y="364"/>
                                </a:lnTo>
                                <a:lnTo>
                                  <a:pt x="0" y="720"/>
                                </a:lnTo>
                                <a:lnTo>
                                  <a:pt x="359" y="720"/>
                                </a:lnTo>
                                <a:close/>
                                <a:moveTo>
                                  <a:pt x="119" y="452"/>
                                </a:moveTo>
                                <a:lnTo>
                                  <a:pt x="119" y="474"/>
                                </a:lnTo>
                                <a:lnTo>
                                  <a:pt x="114" y="486"/>
                                </a:lnTo>
                                <a:lnTo>
                                  <a:pt x="102" y="501"/>
                                </a:lnTo>
                                <a:lnTo>
                                  <a:pt x="88" y="514"/>
                                </a:lnTo>
                                <a:lnTo>
                                  <a:pt x="77" y="528"/>
                                </a:lnTo>
                                <a:lnTo>
                                  <a:pt x="69" y="541"/>
                                </a:lnTo>
                                <a:lnTo>
                                  <a:pt x="64" y="552"/>
                                </a:lnTo>
                                <a:lnTo>
                                  <a:pt x="60" y="567"/>
                                </a:lnTo>
                                <a:lnTo>
                                  <a:pt x="61" y="582"/>
                                </a:lnTo>
                                <a:lnTo>
                                  <a:pt x="67" y="598"/>
                                </a:lnTo>
                                <a:lnTo>
                                  <a:pt x="76" y="610"/>
                                </a:lnTo>
                                <a:lnTo>
                                  <a:pt x="86" y="624"/>
                                </a:lnTo>
                                <a:lnTo>
                                  <a:pt x="102" y="638"/>
                                </a:lnTo>
                                <a:lnTo>
                                  <a:pt x="119" y="651"/>
                                </a:lnTo>
                                <a:lnTo>
                                  <a:pt x="146" y="658"/>
                                </a:lnTo>
                                <a:lnTo>
                                  <a:pt x="171" y="658"/>
                                </a:lnTo>
                                <a:lnTo>
                                  <a:pt x="196" y="658"/>
                                </a:lnTo>
                                <a:lnTo>
                                  <a:pt x="213" y="651"/>
                                </a:lnTo>
                                <a:lnTo>
                                  <a:pt x="240" y="638"/>
                                </a:lnTo>
                                <a:lnTo>
                                  <a:pt x="253" y="625"/>
                                </a:lnTo>
                                <a:lnTo>
                                  <a:pt x="265" y="610"/>
                                </a:lnTo>
                                <a:lnTo>
                                  <a:pt x="273" y="597"/>
                                </a:lnTo>
                                <a:lnTo>
                                  <a:pt x="279" y="580"/>
                                </a:lnTo>
                                <a:lnTo>
                                  <a:pt x="279" y="565"/>
                                </a:lnTo>
                                <a:lnTo>
                                  <a:pt x="277" y="553"/>
                                </a:lnTo>
                                <a:lnTo>
                                  <a:pt x="273" y="541"/>
                                </a:lnTo>
                                <a:lnTo>
                                  <a:pt x="265" y="528"/>
                                </a:lnTo>
                                <a:lnTo>
                                  <a:pt x="254" y="514"/>
                                </a:lnTo>
                                <a:lnTo>
                                  <a:pt x="240" y="501"/>
                                </a:lnTo>
                                <a:lnTo>
                                  <a:pt x="230" y="487"/>
                                </a:lnTo>
                                <a:lnTo>
                                  <a:pt x="222" y="474"/>
                                </a:lnTo>
                                <a:lnTo>
                                  <a:pt x="222" y="452"/>
                                </a:lnTo>
                                <a:lnTo>
                                  <a:pt x="222" y="268"/>
                                </a:lnTo>
                                <a:lnTo>
                                  <a:pt x="222" y="253"/>
                                </a:lnTo>
                                <a:lnTo>
                                  <a:pt x="230" y="233"/>
                                </a:lnTo>
                                <a:lnTo>
                                  <a:pt x="242" y="219"/>
                                </a:lnTo>
                                <a:lnTo>
                                  <a:pt x="257" y="206"/>
                                </a:lnTo>
                                <a:lnTo>
                                  <a:pt x="265" y="192"/>
                                </a:lnTo>
                                <a:lnTo>
                                  <a:pt x="270" y="184"/>
                                </a:lnTo>
                                <a:lnTo>
                                  <a:pt x="277" y="172"/>
                                </a:lnTo>
                                <a:lnTo>
                                  <a:pt x="281" y="153"/>
                                </a:lnTo>
                                <a:lnTo>
                                  <a:pt x="278" y="138"/>
                                </a:lnTo>
                                <a:lnTo>
                                  <a:pt x="273" y="123"/>
                                </a:lnTo>
                                <a:lnTo>
                                  <a:pt x="265" y="110"/>
                                </a:lnTo>
                                <a:lnTo>
                                  <a:pt x="252" y="95"/>
                                </a:lnTo>
                                <a:lnTo>
                                  <a:pt x="236" y="84"/>
                                </a:lnTo>
                                <a:lnTo>
                                  <a:pt x="214" y="75"/>
                                </a:lnTo>
                                <a:lnTo>
                                  <a:pt x="196" y="69"/>
                                </a:lnTo>
                                <a:lnTo>
                                  <a:pt x="171" y="65"/>
                                </a:lnTo>
                                <a:lnTo>
                                  <a:pt x="142" y="68"/>
                                </a:lnTo>
                                <a:lnTo>
                                  <a:pt x="119" y="76"/>
                                </a:lnTo>
                                <a:lnTo>
                                  <a:pt x="102" y="83"/>
                                </a:lnTo>
                                <a:lnTo>
                                  <a:pt x="86" y="96"/>
                                </a:lnTo>
                                <a:lnTo>
                                  <a:pt x="75" y="108"/>
                                </a:lnTo>
                                <a:lnTo>
                                  <a:pt x="66" y="123"/>
                                </a:lnTo>
                                <a:lnTo>
                                  <a:pt x="60" y="144"/>
                                </a:lnTo>
                                <a:lnTo>
                                  <a:pt x="60" y="158"/>
                                </a:lnTo>
                                <a:lnTo>
                                  <a:pt x="63" y="171"/>
                                </a:lnTo>
                                <a:lnTo>
                                  <a:pt x="69" y="185"/>
                                </a:lnTo>
                                <a:lnTo>
                                  <a:pt x="77" y="195"/>
                                </a:lnTo>
                                <a:lnTo>
                                  <a:pt x="86" y="206"/>
                                </a:lnTo>
                                <a:lnTo>
                                  <a:pt x="101" y="220"/>
                                </a:lnTo>
                                <a:lnTo>
                                  <a:pt x="111" y="233"/>
                                </a:lnTo>
                                <a:lnTo>
                                  <a:pt x="119" y="253"/>
                                </a:lnTo>
                                <a:lnTo>
                                  <a:pt x="119" y="268"/>
                                </a:lnTo>
                                <a:lnTo>
                                  <a:pt x="119" y="452"/>
                                </a:lnTo>
                                <a:close/>
                                <a:moveTo>
                                  <a:pt x="341" y="62"/>
                                </a:moveTo>
                                <a:lnTo>
                                  <a:pt x="641" y="62"/>
                                </a:lnTo>
                                <a:lnTo>
                                  <a:pt x="641" y="275"/>
                                </a:lnTo>
                                <a:lnTo>
                                  <a:pt x="341" y="275"/>
                                </a:lnTo>
                                <a:lnTo>
                                  <a:pt x="341" y="62"/>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Rectangle 4"/>
                        <wps:cNvSpPr>
                          <a:spLocks noChangeArrowheads="1"/>
                        </wps:cNvSpPr>
                        <wps:spPr bwMode="auto">
                          <a:xfrm>
                            <a:off x="1782" y="755"/>
                            <a:ext cx="297" cy="37"/>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 name="AutoShape 3"/>
                        <wps:cNvSpPr>
                          <a:spLocks/>
                        </wps:cNvSpPr>
                        <wps:spPr bwMode="auto">
                          <a:xfrm>
                            <a:off x="1821" y="814"/>
                            <a:ext cx="220" cy="236"/>
                          </a:xfrm>
                          <a:custGeom>
                            <a:avLst/>
                            <a:gdLst>
                              <a:gd name="T0" fmla="+- 0 1822 1822"/>
                              <a:gd name="T1" fmla="*/ T0 w 220"/>
                              <a:gd name="T2" fmla="+- 0 815 815"/>
                              <a:gd name="T3" fmla="*/ 815 h 236"/>
                              <a:gd name="T4" fmla="+- 0 1864 1822"/>
                              <a:gd name="T5" fmla="*/ T4 w 220"/>
                              <a:gd name="T6" fmla="+- 0 815 815"/>
                              <a:gd name="T7" fmla="*/ 815 h 236"/>
                              <a:gd name="T8" fmla="+- 0 1864 1822"/>
                              <a:gd name="T9" fmla="*/ T8 w 220"/>
                              <a:gd name="T10" fmla="+- 0 856 815"/>
                              <a:gd name="T11" fmla="*/ 856 h 236"/>
                              <a:gd name="T12" fmla="+- 0 1822 1822"/>
                              <a:gd name="T13" fmla="*/ T12 w 220"/>
                              <a:gd name="T14" fmla="+- 0 856 815"/>
                              <a:gd name="T15" fmla="*/ 856 h 236"/>
                              <a:gd name="T16" fmla="+- 0 1822 1822"/>
                              <a:gd name="T17" fmla="*/ T16 w 220"/>
                              <a:gd name="T18" fmla="+- 0 815 815"/>
                              <a:gd name="T19" fmla="*/ 815 h 236"/>
                              <a:gd name="T20" fmla="+- 0 1910 1822"/>
                              <a:gd name="T21" fmla="*/ T20 w 220"/>
                              <a:gd name="T22" fmla="+- 0 815 815"/>
                              <a:gd name="T23" fmla="*/ 815 h 236"/>
                              <a:gd name="T24" fmla="+- 0 1952 1822"/>
                              <a:gd name="T25" fmla="*/ T24 w 220"/>
                              <a:gd name="T26" fmla="+- 0 815 815"/>
                              <a:gd name="T27" fmla="*/ 815 h 236"/>
                              <a:gd name="T28" fmla="+- 0 1952 1822"/>
                              <a:gd name="T29" fmla="*/ T28 w 220"/>
                              <a:gd name="T30" fmla="+- 0 856 815"/>
                              <a:gd name="T31" fmla="*/ 856 h 236"/>
                              <a:gd name="T32" fmla="+- 0 1910 1822"/>
                              <a:gd name="T33" fmla="*/ T32 w 220"/>
                              <a:gd name="T34" fmla="+- 0 856 815"/>
                              <a:gd name="T35" fmla="*/ 856 h 236"/>
                              <a:gd name="T36" fmla="+- 0 1910 1822"/>
                              <a:gd name="T37" fmla="*/ T36 w 220"/>
                              <a:gd name="T38" fmla="+- 0 815 815"/>
                              <a:gd name="T39" fmla="*/ 815 h 236"/>
                              <a:gd name="T40" fmla="+- 0 1999 1822"/>
                              <a:gd name="T41" fmla="*/ T40 w 220"/>
                              <a:gd name="T42" fmla="+- 0 815 815"/>
                              <a:gd name="T43" fmla="*/ 815 h 236"/>
                              <a:gd name="T44" fmla="+- 0 2041 1822"/>
                              <a:gd name="T45" fmla="*/ T44 w 220"/>
                              <a:gd name="T46" fmla="+- 0 815 815"/>
                              <a:gd name="T47" fmla="*/ 815 h 236"/>
                              <a:gd name="T48" fmla="+- 0 2041 1822"/>
                              <a:gd name="T49" fmla="*/ T48 w 220"/>
                              <a:gd name="T50" fmla="+- 0 856 815"/>
                              <a:gd name="T51" fmla="*/ 856 h 236"/>
                              <a:gd name="T52" fmla="+- 0 1999 1822"/>
                              <a:gd name="T53" fmla="*/ T52 w 220"/>
                              <a:gd name="T54" fmla="+- 0 856 815"/>
                              <a:gd name="T55" fmla="*/ 856 h 236"/>
                              <a:gd name="T56" fmla="+- 0 1999 1822"/>
                              <a:gd name="T57" fmla="*/ T56 w 220"/>
                              <a:gd name="T58" fmla="+- 0 815 815"/>
                              <a:gd name="T59" fmla="*/ 815 h 236"/>
                              <a:gd name="T60" fmla="+- 0 1822 1822"/>
                              <a:gd name="T61" fmla="*/ T60 w 220"/>
                              <a:gd name="T62" fmla="+- 0 880 815"/>
                              <a:gd name="T63" fmla="*/ 880 h 236"/>
                              <a:gd name="T64" fmla="+- 0 1864 1822"/>
                              <a:gd name="T65" fmla="*/ T64 w 220"/>
                              <a:gd name="T66" fmla="+- 0 880 815"/>
                              <a:gd name="T67" fmla="*/ 880 h 236"/>
                              <a:gd name="T68" fmla="+- 0 1864 1822"/>
                              <a:gd name="T69" fmla="*/ T68 w 220"/>
                              <a:gd name="T70" fmla="+- 0 921 815"/>
                              <a:gd name="T71" fmla="*/ 921 h 236"/>
                              <a:gd name="T72" fmla="+- 0 1822 1822"/>
                              <a:gd name="T73" fmla="*/ T72 w 220"/>
                              <a:gd name="T74" fmla="+- 0 921 815"/>
                              <a:gd name="T75" fmla="*/ 921 h 236"/>
                              <a:gd name="T76" fmla="+- 0 1822 1822"/>
                              <a:gd name="T77" fmla="*/ T76 w 220"/>
                              <a:gd name="T78" fmla="+- 0 880 815"/>
                              <a:gd name="T79" fmla="*/ 880 h 236"/>
                              <a:gd name="T80" fmla="+- 0 1910 1822"/>
                              <a:gd name="T81" fmla="*/ T80 w 220"/>
                              <a:gd name="T82" fmla="+- 0 880 815"/>
                              <a:gd name="T83" fmla="*/ 880 h 236"/>
                              <a:gd name="T84" fmla="+- 0 1952 1822"/>
                              <a:gd name="T85" fmla="*/ T84 w 220"/>
                              <a:gd name="T86" fmla="+- 0 880 815"/>
                              <a:gd name="T87" fmla="*/ 880 h 236"/>
                              <a:gd name="T88" fmla="+- 0 1952 1822"/>
                              <a:gd name="T89" fmla="*/ T88 w 220"/>
                              <a:gd name="T90" fmla="+- 0 921 815"/>
                              <a:gd name="T91" fmla="*/ 921 h 236"/>
                              <a:gd name="T92" fmla="+- 0 1910 1822"/>
                              <a:gd name="T93" fmla="*/ T92 w 220"/>
                              <a:gd name="T94" fmla="+- 0 921 815"/>
                              <a:gd name="T95" fmla="*/ 921 h 236"/>
                              <a:gd name="T96" fmla="+- 0 1910 1822"/>
                              <a:gd name="T97" fmla="*/ T96 w 220"/>
                              <a:gd name="T98" fmla="+- 0 880 815"/>
                              <a:gd name="T99" fmla="*/ 880 h 236"/>
                              <a:gd name="T100" fmla="+- 0 1999 1822"/>
                              <a:gd name="T101" fmla="*/ T100 w 220"/>
                              <a:gd name="T102" fmla="+- 0 880 815"/>
                              <a:gd name="T103" fmla="*/ 880 h 236"/>
                              <a:gd name="T104" fmla="+- 0 2041 1822"/>
                              <a:gd name="T105" fmla="*/ T104 w 220"/>
                              <a:gd name="T106" fmla="+- 0 880 815"/>
                              <a:gd name="T107" fmla="*/ 880 h 236"/>
                              <a:gd name="T108" fmla="+- 0 2041 1822"/>
                              <a:gd name="T109" fmla="*/ T108 w 220"/>
                              <a:gd name="T110" fmla="+- 0 921 815"/>
                              <a:gd name="T111" fmla="*/ 921 h 236"/>
                              <a:gd name="T112" fmla="+- 0 1999 1822"/>
                              <a:gd name="T113" fmla="*/ T112 w 220"/>
                              <a:gd name="T114" fmla="+- 0 921 815"/>
                              <a:gd name="T115" fmla="*/ 921 h 236"/>
                              <a:gd name="T116" fmla="+- 0 1999 1822"/>
                              <a:gd name="T117" fmla="*/ T116 w 220"/>
                              <a:gd name="T118" fmla="+- 0 880 815"/>
                              <a:gd name="T119" fmla="*/ 880 h 236"/>
                              <a:gd name="T120" fmla="+- 0 1822 1822"/>
                              <a:gd name="T121" fmla="*/ T120 w 220"/>
                              <a:gd name="T122" fmla="+- 0 945 815"/>
                              <a:gd name="T123" fmla="*/ 945 h 236"/>
                              <a:gd name="T124" fmla="+- 0 1864 1822"/>
                              <a:gd name="T125" fmla="*/ T124 w 220"/>
                              <a:gd name="T126" fmla="+- 0 945 815"/>
                              <a:gd name="T127" fmla="*/ 945 h 236"/>
                              <a:gd name="T128" fmla="+- 0 1864 1822"/>
                              <a:gd name="T129" fmla="*/ T128 w 220"/>
                              <a:gd name="T130" fmla="+- 0 986 815"/>
                              <a:gd name="T131" fmla="*/ 986 h 236"/>
                              <a:gd name="T132" fmla="+- 0 1822 1822"/>
                              <a:gd name="T133" fmla="*/ T132 w 220"/>
                              <a:gd name="T134" fmla="+- 0 986 815"/>
                              <a:gd name="T135" fmla="*/ 986 h 236"/>
                              <a:gd name="T136" fmla="+- 0 1822 1822"/>
                              <a:gd name="T137" fmla="*/ T136 w 220"/>
                              <a:gd name="T138" fmla="+- 0 945 815"/>
                              <a:gd name="T139" fmla="*/ 945 h 236"/>
                              <a:gd name="T140" fmla="+- 0 1910 1822"/>
                              <a:gd name="T141" fmla="*/ T140 w 220"/>
                              <a:gd name="T142" fmla="+- 0 945 815"/>
                              <a:gd name="T143" fmla="*/ 945 h 236"/>
                              <a:gd name="T144" fmla="+- 0 1952 1822"/>
                              <a:gd name="T145" fmla="*/ T144 w 220"/>
                              <a:gd name="T146" fmla="+- 0 945 815"/>
                              <a:gd name="T147" fmla="*/ 945 h 236"/>
                              <a:gd name="T148" fmla="+- 0 1952 1822"/>
                              <a:gd name="T149" fmla="*/ T148 w 220"/>
                              <a:gd name="T150" fmla="+- 0 986 815"/>
                              <a:gd name="T151" fmla="*/ 986 h 236"/>
                              <a:gd name="T152" fmla="+- 0 1910 1822"/>
                              <a:gd name="T153" fmla="*/ T152 w 220"/>
                              <a:gd name="T154" fmla="+- 0 986 815"/>
                              <a:gd name="T155" fmla="*/ 986 h 236"/>
                              <a:gd name="T156" fmla="+- 0 1910 1822"/>
                              <a:gd name="T157" fmla="*/ T156 w 220"/>
                              <a:gd name="T158" fmla="+- 0 945 815"/>
                              <a:gd name="T159" fmla="*/ 945 h 236"/>
                              <a:gd name="T160" fmla="+- 0 1999 1822"/>
                              <a:gd name="T161" fmla="*/ T160 w 220"/>
                              <a:gd name="T162" fmla="+- 0 945 815"/>
                              <a:gd name="T163" fmla="*/ 945 h 236"/>
                              <a:gd name="T164" fmla="+- 0 2041 1822"/>
                              <a:gd name="T165" fmla="*/ T164 w 220"/>
                              <a:gd name="T166" fmla="+- 0 945 815"/>
                              <a:gd name="T167" fmla="*/ 945 h 236"/>
                              <a:gd name="T168" fmla="+- 0 2041 1822"/>
                              <a:gd name="T169" fmla="*/ T168 w 220"/>
                              <a:gd name="T170" fmla="+- 0 986 815"/>
                              <a:gd name="T171" fmla="*/ 986 h 236"/>
                              <a:gd name="T172" fmla="+- 0 1999 1822"/>
                              <a:gd name="T173" fmla="*/ T172 w 220"/>
                              <a:gd name="T174" fmla="+- 0 986 815"/>
                              <a:gd name="T175" fmla="*/ 986 h 236"/>
                              <a:gd name="T176" fmla="+- 0 1999 1822"/>
                              <a:gd name="T177" fmla="*/ T176 w 220"/>
                              <a:gd name="T178" fmla="+- 0 945 815"/>
                              <a:gd name="T179" fmla="*/ 945 h 236"/>
                              <a:gd name="T180" fmla="+- 0 1822 1822"/>
                              <a:gd name="T181" fmla="*/ T180 w 220"/>
                              <a:gd name="T182" fmla="+- 0 1010 815"/>
                              <a:gd name="T183" fmla="*/ 1010 h 236"/>
                              <a:gd name="T184" fmla="+- 0 1864 1822"/>
                              <a:gd name="T185" fmla="*/ T184 w 220"/>
                              <a:gd name="T186" fmla="+- 0 1010 815"/>
                              <a:gd name="T187" fmla="*/ 1010 h 236"/>
                              <a:gd name="T188" fmla="+- 0 1864 1822"/>
                              <a:gd name="T189" fmla="*/ T188 w 220"/>
                              <a:gd name="T190" fmla="+- 0 1051 815"/>
                              <a:gd name="T191" fmla="*/ 1051 h 236"/>
                              <a:gd name="T192" fmla="+- 0 1822 1822"/>
                              <a:gd name="T193" fmla="*/ T192 w 220"/>
                              <a:gd name="T194" fmla="+- 0 1051 815"/>
                              <a:gd name="T195" fmla="*/ 1051 h 236"/>
                              <a:gd name="T196" fmla="+- 0 1822 1822"/>
                              <a:gd name="T197" fmla="*/ T196 w 220"/>
                              <a:gd name="T198" fmla="+- 0 1010 815"/>
                              <a:gd name="T199" fmla="*/ 1010 h 236"/>
                              <a:gd name="T200" fmla="+- 0 1910 1822"/>
                              <a:gd name="T201" fmla="*/ T200 w 220"/>
                              <a:gd name="T202" fmla="+- 0 1010 815"/>
                              <a:gd name="T203" fmla="*/ 1010 h 236"/>
                              <a:gd name="T204" fmla="+- 0 1952 1822"/>
                              <a:gd name="T205" fmla="*/ T204 w 220"/>
                              <a:gd name="T206" fmla="+- 0 1010 815"/>
                              <a:gd name="T207" fmla="*/ 1010 h 236"/>
                              <a:gd name="T208" fmla="+- 0 1952 1822"/>
                              <a:gd name="T209" fmla="*/ T208 w 220"/>
                              <a:gd name="T210" fmla="+- 0 1051 815"/>
                              <a:gd name="T211" fmla="*/ 1051 h 236"/>
                              <a:gd name="T212" fmla="+- 0 1910 1822"/>
                              <a:gd name="T213" fmla="*/ T212 w 220"/>
                              <a:gd name="T214" fmla="+- 0 1051 815"/>
                              <a:gd name="T215" fmla="*/ 1051 h 236"/>
                              <a:gd name="T216" fmla="+- 0 1910 1822"/>
                              <a:gd name="T217" fmla="*/ T216 w 220"/>
                              <a:gd name="T218" fmla="+- 0 1010 815"/>
                              <a:gd name="T219" fmla="*/ 1010 h 236"/>
                              <a:gd name="T220" fmla="+- 0 1999 1822"/>
                              <a:gd name="T221" fmla="*/ T220 w 220"/>
                              <a:gd name="T222" fmla="+- 0 1010 815"/>
                              <a:gd name="T223" fmla="*/ 1010 h 236"/>
                              <a:gd name="T224" fmla="+- 0 2041 1822"/>
                              <a:gd name="T225" fmla="*/ T224 w 220"/>
                              <a:gd name="T226" fmla="+- 0 1010 815"/>
                              <a:gd name="T227" fmla="*/ 1010 h 236"/>
                              <a:gd name="T228" fmla="+- 0 2041 1822"/>
                              <a:gd name="T229" fmla="*/ T228 w 220"/>
                              <a:gd name="T230" fmla="+- 0 1051 815"/>
                              <a:gd name="T231" fmla="*/ 1051 h 236"/>
                              <a:gd name="T232" fmla="+- 0 1999 1822"/>
                              <a:gd name="T233" fmla="*/ T232 w 220"/>
                              <a:gd name="T234" fmla="+- 0 1051 815"/>
                              <a:gd name="T235" fmla="*/ 1051 h 236"/>
                              <a:gd name="T236" fmla="+- 0 1999 1822"/>
                              <a:gd name="T237" fmla="*/ T236 w 220"/>
                              <a:gd name="T238" fmla="+- 0 1010 815"/>
                              <a:gd name="T239" fmla="*/ 1010 h 2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20" h="236">
                                <a:moveTo>
                                  <a:pt x="0" y="0"/>
                                </a:moveTo>
                                <a:lnTo>
                                  <a:pt x="42" y="0"/>
                                </a:lnTo>
                                <a:lnTo>
                                  <a:pt x="42" y="41"/>
                                </a:lnTo>
                                <a:lnTo>
                                  <a:pt x="0" y="41"/>
                                </a:lnTo>
                                <a:lnTo>
                                  <a:pt x="0" y="0"/>
                                </a:lnTo>
                                <a:moveTo>
                                  <a:pt x="88" y="0"/>
                                </a:moveTo>
                                <a:lnTo>
                                  <a:pt x="130" y="0"/>
                                </a:lnTo>
                                <a:lnTo>
                                  <a:pt x="130" y="41"/>
                                </a:lnTo>
                                <a:lnTo>
                                  <a:pt x="88" y="41"/>
                                </a:lnTo>
                                <a:lnTo>
                                  <a:pt x="88" y="0"/>
                                </a:lnTo>
                                <a:moveTo>
                                  <a:pt x="177" y="0"/>
                                </a:moveTo>
                                <a:lnTo>
                                  <a:pt x="219" y="0"/>
                                </a:lnTo>
                                <a:lnTo>
                                  <a:pt x="219" y="41"/>
                                </a:lnTo>
                                <a:lnTo>
                                  <a:pt x="177" y="41"/>
                                </a:lnTo>
                                <a:lnTo>
                                  <a:pt x="177" y="0"/>
                                </a:lnTo>
                                <a:moveTo>
                                  <a:pt x="0" y="65"/>
                                </a:moveTo>
                                <a:lnTo>
                                  <a:pt x="42" y="65"/>
                                </a:lnTo>
                                <a:lnTo>
                                  <a:pt x="42" y="106"/>
                                </a:lnTo>
                                <a:lnTo>
                                  <a:pt x="0" y="106"/>
                                </a:lnTo>
                                <a:lnTo>
                                  <a:pt x="0" y="65"/>
                                </a:lnTo>
                                <a:moveTo>
                                  <a:pt x="88" y="65"/>
                                </a:moveTo>
                                <a:lnTo>
                                  <a:pt x="130" y="65"/>
                                </a:lnTo>
                                <a:lnTo>
                                  <a:pt x="130" y="106"/>
                                </a:lnTo>
                                <a:lnTo>
                                  <a:pt x="88" y="106"/>
                                </a:lnTo>
                                <a:lnTo>
                                  <a:pt x="88" y="65"/>
                                </a:lnTo>
                                <a:moveTo>
                                  <a:pt x="177" y="65"/>
                                </a:moveTo>
                                <a:lnTo>
                                  <a:pt x="219" y="65"/>
                                </a:lnTo>
                                <a:lnTo>
                                  <a:pt x="219" y="106"/>
                                </a:lnTo>
                                <a:lnTo>
                                  <a:pt x="177" y="106"/>
                                </a:lnTo>
                                <a:lnTo>
                                  <a:pt x="177" y="65"/>
                                </a:lnTo>
                                <a:moveTo>
                                  <a:pt x="0" y="130"/>
                                </a:moveTo>
                                <a:lnTo>
                                  <a:pt x="42" y="130"/>
                                </a:lnTo>
                                <a:lnTo>
                                  <a:pt x="42" y="171"/>
                                </a:lnTo>
                                <a:lnTo>
                                  <a:pt x="0" y="171"/>
                                </a:lnTo>
                                <a:lnTo>
                                  <a:pt x="0" y="130"/>
                                </a:lnTo>
                                <a:moveTo>
                                  <a:pt x="88" y="130"/>
                                </a:moveTo>
                                <a:lnTo>
                                  <a:pt x="130" y="130"/>
                                </a:lnTo>
                                <a:lnTo>
                                  <a:pt x="130" y="171"/>
                                </a:lnTo>
                                <a:lnTo>
                                  <a:pt x="88" y="171"/>
                                </a:lnTo>
                                <a:lnTo>
                                  <a:pt x="88" y="130"/>
                                </a:lnTo>
                                <a:moveTo>
                                  <a:pt x="177" y="130"/>
                                </a:moveTo>
                                <a:lnTo>
                                  <a:pt x="219" y="130"/>
                                </a:lnTo>
                                <a:lnTo>
                                  <a:pt x="219" y="171"/>
                                </a:lnTo>
                                <a:lnTo>
                                  <a:pt x="177" y="171"/>
                                </a:lnTo>
                                <a:lnTo>
                                  <a:pt x="177" y="130"/>
                                </a:lnTo>
                                <a:moveTo>
                                  <a:pt x="0" y="195"/>
                                </a:moveTo>
                                <a:lnTo>
                                  <a:pt x="42" y="195"/>
                                </a:lnTo>
                                <a:lnTo>
                                  <a:pt x="42" y="236"/>
                                </a:lnTo>
                                <a:lnTo>
                                  <a:pt x="0" y="236"/>
                                </a:lnTo>
                                <a:lnTo>
                                  <a:pt x="0" y="195"/>
                                </a:lnTo>
                                <a:moveTo>
                                  <a:pt x="88" y="195"/>
                                </a:moveTo>
                                <a:lnTo>
                                  <a:pt x="130" y="195"/>
                                </a:lnTo>
                                <a:lnTo>
                                  <a:pt x="130" y="236"/>
                                </a:lnTo>
                                <a:lnTo>
                                  <a:pt x="88" y="236"/>
                                </a:lnTo>
                                <a:lnTo>
                                  <a:pt x="88" y="195"/>
                                </a:lnTo>
                                <a:moveTo>
                                  <a:pt x="177" y="195"/>
                                </a:moveTo>
                                <a:lnTo>
                                  <a:pt x="219" y="195"/>
                                </a:lnTo>
                                <a:lnTo>
                                  <a:pt x="219" y="236"/>
                                </a:lnTo>
                                <a:lnTo>
                                  <a:pt x="177" y="236"/>
                                </a:lnTo>
                                <a:lnTo>
                                  <a:pt x="177" y="195"/>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0C0089" id="Group 2" o:spid="_x0000_s1026" style="position:absolute;margin-left:71.65pt;margin-top:22pt;width:37pt;height:36.75pt;z-index:251660288;mso-position-horizontal-relative:page" coordorigin="1433,440" coordsize="740,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">
                <v:rect id="Rectangle 8" o:spid="_x0000_s1027" style="position:absolute;left:1440;top:447;width:725;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" fillcolor="#ffc" stroked="f"/>
                <v:rect id="Rectangle 7" o:spid="_x0000_s1028" style="position:absolute;left:1790;top:763;width:282;height: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" fillcolor="#ffc" stroked="f"/>
                <v:shape id="AutoShape 6" o:spid="_x0000_s1029" style="position:absolute;left:1821;top:814;width:220;height:236;visibility:visible;mso-wrap-style:square;v-text-anchor:top" coordsize="220,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" path="m42,195l,195r,41l42,236r,-41m42,130l,130r,41l42,171r,-41m42,65l,65r,41l42,106r,-41m42,l,,,41r42,l42,t88,195l88,195r,41l130,236r,-41m130,130r-42,l88,171r42,l130,130t,-65l88,65r,41l130,106r,-41m130,l88,r,41l130,41,130,t89,195l177,195r,41l219,236r,-41m219,130r-42,l177,171r42,l219,130t,-65l177,65r,41l219,106r,-41m219,l177,r,41l219,41,219,e" fillcolor="#ffc" stroked="f">
                  <v:path arrowok="t" o:connecttype="custom" o:connectlocs="42,1010;0,1010;0,1051;42,1051;42,1010;42,945;0,945;0,986;42,986;42,945;42,880;0,880;0,921;42,921;42,880;42,815;0,815;0,856;42,856;42,815;130,1010;88,1010;88,1051;130,1051;130,1010;130,945;88,945;88,986;130,986;130,945;130,880;88,880;88,921;130,921;130,880;130,815;88,815;88,856;130,856;130,815;219,1010;177,1010;177,1051;219,1051;219,1010;219,945;177,945;177,986;219,986;219,945;219,880;177,880;177,921;219,921;219,880;219,815;177,815;177,856;219,856;219,815" o:connectangles="0,0,0,0,0,0,0,0,0,0,0,0,0,0,0,0,0,0,0,0,0,0,0,0,0,0,0,0,0,0,0,0,0,0,0,0,0,0,0,0,0,0,0,0,0,0,0,0,0,0,0,0,0,0,0,0,0,0,0,0"/>
                </v:shape>
                <v:shape id="AutoShape 5" o:spid="_x0000_s1030" style="position:absolute;left:1440;top:447;width:725;height:720;visibility:visible;mso-wrap-style:square;v-text-anchor:top" coordsize="72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" path="m359,720r366,l725,356,725,,342,,,,,364,,720r359,xm119,452r,22l114,486r-12,15l88,514,77,528r-8,13l64,552r-4,15l61,582r6,16l76,610r10,14l102,638r17,13l146,658r25,l196,658r17,-7l240,638r13,-13l265,610r8,-13l279,580r,-15l277,553r-4,-12l265,528,254,514,240,501,230,487r-8,-13l222,452r,-184l222,253r8,-20l242,219r15,-13l265,192r5,-8l277,172r4,-19l278,138r-5,-15l265,110,252,95,236,84,214,75,196,69,171,65r-29,3l119,76r-17,7l86,96,75,108r-9,15l60,144r,14l63,171r6,14l77,195r9,11l101,220r10,13l119,253r,15l119,452xm341,62r300,l641,275r-300,l341,62e" filled="f">
                  <v:path arrowok="t" o:connecttype="custom" o:connectlocs="725,1168;725,448;0,448;0,1168;119,900;114,934;88,962;69,989;60,1015;67,1046;86,1072;119,1099;171,1106;213,1099;253,1073;273,1045;279,1013;273,989;254,962;230,935;222,900;222,701;242,667;265,640;277,620;278,586;265,558;236,532;196,517;142,516;102,531;75,556;60,592;63,619;77,643;101,668;119,701;119,900;641,510;341,723" o:connectangles="0,0,0,0,0,0,0,0,0,0,0,0,0,0,0,0,0,0,0,0,0,0,0,0,0,0,0,0,0,0,0,0,0,0,0,0,0,0,0,0"/>
                </v:shape>
                <v:rect id="Rectangle 4" o:spid="_x0000_s1031" style="position:absolute;left:1782;top:755;width:297;height: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" fillcolor="black" stroked="f"/>
                <v:shape id="AutoShape 3" o:spid="_x0000_s1032" style="position:absolute;left:1821;top:814;width:220;height:236;visibility:visible;mso-wrap-style:square;v-text-anchor:top" coordsize="220,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" path="m,l42,r,41l,41,,m88,r42,l130,41r-42,l88,t89,l219,r,41l177,41,177,m,65r42,l42,106,,106,,65t88,l130,65r,41l88,106r,-41m177,65r42,l219,106r-42,l177,65m,130r42,l42,171,,171,,130t88,l130,130r,41l88,171r,-41m177,130r42,l219,171r-42,l177,130m,195r42,l42,236,,236,,195t88,l130,195r,41l88,236r,-41m177,195r42,l219,236r-42,l177,195e" filled="f">
                  <v:path arrowok="t" o:connecttype="custom" o:connectlocs="0,815;42,815;42,856;0,856;0,815;88,815;130,815;130,856;88,856;88,815;177,815;219,815;219,856;177,856;177,815;0,880;42,880;42,921;0,921;0,880;88,880;130,880;130,921;88,921;88,880;177,880;219,880;219,921;177,921;177,880;0,945;42,945;42,986;0,986;0,945;88,945;130,945;130,986;88,986;88,945;177,945;219,945;219,986;177,986;177,945;0,1010;42,1010;42,1051;0,1051;0,1010;88,1010;130,1010;130,1051;88,1051;88,1010;177,1010;219,1010;219,1051;177,1051;177,1010" o:connectangles="0,0,0,0,0,0,0,0,0,0,0,0,0,0,0,0,0,0,0,0,0,0,0,0,0,0,0,0,0,0,0,0,0,0,0,0,0,0,0,0,0,0,0,0,0,0,0,0,0,0,0,0,0,0,0,0,0,0,0,0"/>
                </v:shape>
                <w10:wrap anchorx="page"/>
              </v:group>
            </w:pict>
          </mc:Fallback>
        </mc:AlternateContent>
      </w:r>
      <w:proofErr w:type="spellStart"/>
      <w:r>
        <w:rPr>
          <w:w w:val="34"/>
          <w:rtl/>
        </w:rPr>
        <w:t>ب</w:t>
      </w:r>
      <w:r>
        <w:rPr>
          <w:spacing w:val="-3"/>
          <w:rtl/>
        </w:rPr>
        <w:t>ر</w:t>
      </w:r>
      <w:r>
        <w:rPr>
          <w:rtl/>
        </w:rPr>
        <w:t>ا</w:t>
      </w:r>
      <w:r>
        <w:rPr>
          <w:spacing w:val="1"/>
          <w:w w:val="38"/>
          <w:rtl/>
        </w:rPr>
        <w:t>ئ</w:t>
      </w:r>
      <w:r>
        <w:rPr>
          <w:spacing w:val="-2"/>
          <w:rtl/>
        </w:rPr>
        <w:t>ے</w:t>
      </w:r>
      <w:proofErr w:type="spellEnd"/>
      <w:r>
        <w:rPr>
          <w:rtl/>
        </w:rPr>
        <w:t xml:space="preserve"> </w:t>
      </w:r>
      <w:proofErr w:type="spellStart"/>
      <w:r>
        <w:rPr>
          <w:w w:val="117"/>
          <w:rtl/>
        </w:rPr>
        <w:t>م</w:t>
      </w:r>
      <w:r>
        <w:rPr>
          <w:spacing w:val="1"/>
          <w:w w:val="82"/>
          <w:rtl/>
        </w:rPr>
        <w:t>ہ</w:t>
      </w:r>
      <w:r>
        <w:rPr>
          <w:spacing w:val="-3"/>
          <w:rtl/>
        </w:rPr>
        <w:t>ر</w:t>
      </w:r>
      <w:r>
        <w:rPr>
          <w:spacing w:val="1"/>
          <w:w w:val="34"/>
          <w:rtl/>
        </w:rPr>
        <w:t>ب</w:t>
      </w:r>
      <w:r>
        <w:rPr>
          <w:spacing w:val="-3"/>
          <w:w w:val="111"/>
          <w:rtl/>
        </w:rPr>
        <w:t>ا</w:t>
      </w:r>
      <w:r>
        <w:rPr>
          <w:spacing w:val="1"/>
          <w:w w:val="46"/>
          <w:rtl/>
        </w:rPr>
        <w:t>ن</w:t>
      </w:r>
      <w:r>
        <w:rPr>
          <w:spacing w:val="-3"/>
          <w:w w:val="92"/>
          <w:rtl/>
        </w:rPr>
        <w:t>ی</w:t>
      </w:r>
      <w:proofErr w:type="spellEnd"/>
      <w:r>
        <w:rPr>
          <w:spacing w:val="1"/>
          <w:rtl/>
        </w:rPr>
        <w:t xml:space="preserve"> </w:t>
      </w:r>
      <w:proofErr w:type="spellStart"/>
      <w:r>
        <w:rPr>
          <w:rtl/>
        </w:rPr>
        <w:t>درج</w:t>
      </w:r>
      <w:proofErr w:type="spellEnd"/>
      <w:r>
        <w:rPr>
          <w:rtl/>
        </w:rPr>
        <w:t xml:space="preserve"> </w:t>
      </w:r>
      <w:proofErr w:type="spellStart"/>
      <w:r>
        <w:rPr>
          <w:rtl/>
        </w:rPr>
        <w:t>ذ</w:t>
      </w:r>
      <w:r>
        <w:rPr>
          <w:spacing w:val="1"/>
          <w:w w:val="38"/>
          <w:rtl/>
        </w:rPr>
        <w:t>ی</w:t>
      </w:r>
      <w:r>
        <w:rPr>
          <w:spacing w:val="-2"/>
          <w:rtl/>
        </w:rPr>
        <w:t>ل</w:t>
      </w:r>
      <w:proofErr w:type="spellEnd"/>
      <w:r>
        <w:rPr>
          <w:rtl/>
        </w:rPr>
        <w:t xml:space="preserve"> </w:t>
      </w:r>
      <w:proofErr w:type="spellStart"/>
      <w:r>
        <w:rPr>
          <w:w w:val="46"/>
          <w:rtl/>
        </w:rPr>
        <w:t>ن</w:t>
      </w:r>
      <w:r>
        <w:rPr>
          <w:spacing w:val="-4"/>
          <w:w w:val="117"/>
          <w:rtl/>
        </w:rPr>
        <w:t>م</w:t>
      </w:r>
      <w:r>
        <w:rPr>
          <w:spacing w:val="1"/>
          <w:w w:val="34"/>
          <w:rtl/>
        </w:rPr>
        <w:t>ب</w:t>
      </w:r>
      <w:r>
        <w:rPr>
          <w:spacing w:val="-3"/>
          <w:rtl/>
        </w:rPr>
        <w:t>ر</w:t>
      </w:r>
      <w:proofErr w:type="spellEnd"/>
      <w:r>
        <w:rPr>
          <w:spacing w:val="2"/>
          <w:rtl/>
        </w:rPr>
        <w:t xml:space="preserve"> </w:t>
      </w:r>
      <w:proofErr w:type="spellStart"/>
      <w:r>
        <w:rPr>
          <w:w w:val="34"/>
          <w:rtl/>
        </w:rPr>
        <w:t>پ</w:t>
      </w:r>
      <w:r>
        <w:rPr>
          <w:spacing w:val="-2"/>
          <w:rtl/>
        </w:rPr>
        <w:t>ر</w:t>
      </w:r>
      <w:proofErr w:type="spellEnd"/>
      <w:r>
        <w:rPr>
          <w:rtl/>
        </w:rPr>
        <w:t xml:space="preserve"> </w:t>
      </w:r>
      <w:proofErr w:type="spellStart"/>
      <w:r>
        <w:rPr>
          <w:w w:val="48"/>
          <w:rtl/>
        </w:rPr>
        <w:t>ک</w:t>
      </w:r>
      <w:r>
        <w:rPr>
          <w:spacing w:val="-3"/>
          <w:w w:val="111"/>
          <w:rtl/>
        </w:rPr>
        <w:t>ا</w:t>
      </w:r>
      <w:r>
        <w:rPr>
          <w:spacing w:val="1"/>
          <w:rtl/>
        </w:rPr>
        <w:t>ل</w:t>
      </w:r>
      <w:proofErr w:type="spellEnd"/>
      <w:r>
        <w:rPr>
          <w:rtl/>
        </w:rPr>
        <w:t xml:space="preserve"> </w:t>
      </w:r>
      <w:proofErr w:type="spellStart"/>
      <w:r>
        <w:rPr>
          <w:w w:val="68"/>
          <w:rtl/>
        </w:rPr>
        <w:t>کر</w:t>
      </w:r>
      <w:r>
        <w:rPr>
          <w:spacing w:val="1"/>
          <w:w w:val="38"/>
          <w:rtl/>
        </w:rPr>
        <w:t>ی</w:t>
      </w:r>
      <w:r>
        <w:rPr>
          <w:spacing w:val="-4"/>
          <w:rtl/>
        </w:rPr>
        <w:t>ں</w:t>
      </w:r>
      <w:proofErr w:type="spellEnd"/>
      <w:r>
        <w:rPr>
          <w:rtl/>
        </w:rPr>
        <w:t>۔</w:t>
      </w:r>
    </w:p>
    <w:p w14:paraId="10417973" w14:textId="77777777" w:rsidR="00AB3ABB" w:rsidRDefault="00AB3ABB">
      <w:pPr>
        <w:pStyle w:val="BodyText"/>
        <w:ind w:left="0"/>
        <w:jc w:val="left"/>
        <w:rPr>
          <w:sz w:val="24"/>
        </w:rPr>
      </w:pPr>
    </w:p>
    <w:p w14:paraId="3ADCE348" w14:textId="77777777" w:rsidR="00AB3ABB" w:rsidRDefault="00AB3ABB">
      <w:pPr>
        <w:pStyle w:val="BodyText"/>
        <w:ind w:left="0"/>
        <w:jc w:val="left"/>
        <w:rPr>
          <w:sz w:val="24"/>
        </w:rPr>
      </w:pPr>
    </w:p>
    <w:p w14:paraId="470804F7" w14:textId="77777777" w:rsidR="00AB3ABB" w:rsidRDefault="0017742F">
      <w:pPr>
        <w:pStyle w:val="BodyText"/>
        <w:spacing w:before="174"/>
        <w:ind w:left="994"/>
        <w:jc w:val="left"/>
      </w:pPr>
      <w:r>
        <w:t>Telephone 0191 3336267</w:t>
      </w:r>
    </w:p>
    <w:p w14:paraId="19B36055" w14:textId="77777777" w:rsidR="00AB3ABB" w:rsidRDefault="00AB3ABB">
      <w:pPr>
        <w:sectPr w:rsidR="00AB3ABB">
          <w:pgSz w:w="11910" w:h="16840"/>
          <w:pgMar w:top="1720" w:right="1320" w:bottom="1200" w:left="1320" w:header="708" w:footer="920" w:gutter="0"/>
          <w:cols w:space="720"/>
        </w:sectPr>
      </w:pPr>
    </w:p>
    <w:p w14:paraId="1183663D" w14:textId="77777777" w:rsidR="00AB3ABB" w:rsidRDefault="00AB3ABB">
      <w:pPr>
        <w:pStyle w:val="BodyText"/>
        <w:spacing w:before="4"/>
        <w:ind w:left="0"/>
        <w:jc w:val="left"/>
        <w:rPr>
          <w:sz w:val="17"/>
        </w:rPr>
      </w:pPr>
    </w:p>
    <w:p w14:paraId="0B779B66" w14:textId="77777777" w:rsidR="00AB3ABB" w:rsidRDefault="0017742F">
      <w:pPr>
        <w:pStyle w:val="BodyText"/>
        <w:spacing w:before="3"/>
        <w:jc w:val="left"/>
      </w:pPr>
      <w:r>
        <w:rPr>
          <w:color w:val="2E5395"/>
        </w:rPr>
        <w:t>Table of Contents</w:t>
      </w:r>
    </w:p>
    <w:p w14:paraId="069160AA" w14:textId="17509960" w:rsidR="00AB3ABB" w:rsidRDefault="001B31B1">
      <w:pPr>
        <w:pStyle w:val="BodyText"/>
        <w:tabs>
          <w:tab w:val="right" w:leader="dot" w:pos="9140"/>
        </w:tabs>
        <w:spacing w:before="449"/>
        <w:ind w:left="341"/>
        <w:jc w:val="left"/>
        <w:rPr>
          <w:rFonts w:ascii="Calibri"/>
        </w:rPr>
      </w:pPr>
      <w:hyperlink w:anchor="_bookmark0" w:history="1">
        <w:r w:rsidR="0017742F">
          <w:t>Introduction</w:t>
        </w:r>
      </w:hyperlink>
      <w:r w:rsidR="0017742F">
        <w:tab/>
      </w:r>
      <w:hyperlink w:anchor="_bookmark0" w:history="1">
        <w:r w:rsidR="00677778">
          <w:rPr>
            <w:rFonts w:ascii="Calibri"/>
          </w:rPr>
          <w:t>8</w:t>
        </w:r>
      </w:hyperlink>
    </w:p>
    <w:p w14:paraId="12360D9C" w14:textId="704FC368" w:rsidR="00AB3ABB" w:rsidRDefault="001B31B1">
      <w:pPr>
        <w:pStyle w:val="BodyText"/>
        <w:tabs>
          <w:tab w:val="right" w:leader="dot" w:pos="9141"/>
        </w:tabs>
        <w:spacing w:before="123"/>
        <w:ind w:left="341"/>
        <w:jc w:val="left"/>
        <w:rPr>
          <w:rFonts w:ascii="Calibri"/>
        </w:rPr>
      </w:pPr>
      <w:hyperlink w:anchor="_bookmark1" w:history="1">
        <w:r w:rsidR="0017742F">
          <w:t>Access</w:t>
        </w:r>
        <w:r w:rsidR="0017742F">
          <w:rPr>
            <w:spacing w:val="-2"/>
          </w:rPr>
          <w:t xml:space="preserve"> </w:t>
        </w:r>
        <w:r w:rsidR="0017742F">
          <w:t>to Services</w:t>
        </w:r>
      </w:hyperlink>
      <w:r w:rsidR="0017742F">
        <w:tab/>
      </w:r>
      <w:hyperlink w:anchor="_bookmark1" w:history="1">
        <w:r w:rsidR="00677778">
          <w:rPr>
            <w:rFonts w:ascii="Calibri"/>
          </w:rPr>
          <w:t>9</w:t>
        </w:r>
      </w:hyperlink>
    </w:p>
    <w:p w14:paraId="3EB4E7D3" w14:textId="3FA9041F" w:rsidR="00AB3ABB" w:rsidRDefault="001B31B1">
      <w:pPr>
        <w:pStyle w:val="BodyText"/>
        <w:tabs>
          <w:tab w:val="right" w:leader="dot" w:pos="9141"/>
        </w:tabs>
        <w:spacing w:before="120"/>
        <w:ind w:left="341"/>
        <w:jc w:val="left"/>
        <w:rPr>
          <w:rFonts w:ascii="Calibri"/>
        </w:rPr>
      </w:pPr>
      <w:hyperlink w:anchor="_bookmark2" w:history="1">
        <w:r w:rsidR="0017742F">
          <w:t>Waiting Times</w:t>
        </w:r>
      </w:hyperlink>
      <w:r w:rsidR="0017742F">
        <w:tab/>
      </w:r>
      <w:hyperlink w:anchor="_bookmark2" w:history="1">
        <w:r w:rsidR="0017742F">
          <w:rPr>
            <w:rFonts w:ascii="Calibri"/>
          </w:rPr>
          <w:t>1</w:t>
        </w:r>
        <w:r w:rsidR="00677778">
          <w:rPr>
            <w:rFonts w:ascii="Calibri"/>
          </w:rPr>
          <w:t>1</w:t>
        </w:r>
      </w:hyperlink>
    </w:p>
    <w:p w14:paraId="3D2E4E70" w14:textId="77777777" w:rsidR="00AB3ABB" w:rsidRDefault="001B31B1">
      <w:pPr>
        <w:pStyle w:val="BodyText"/>
        <w:tabs>
          <w:tab w:val="right" w:leader="dot" w:pos="9141"/>
        </w:tabs>
        <w:spacing w:before="121"/>
        <w:ind w:left="341"/>
        <w:jc w:val="left"/>
        <w:rPr>
          <w:rFonts w:ascii="Calibri"/>
        </w:rPr>
      </w:pPr>
      <w:hyperlink w:anchor="_bookmark3" w:history="1">
        <w:r w:rsidR="0017742F">
          <w:t>Contact</w:t>
        </w:r>
        <w:r w:rsidR="0017742F">
          <w:rPr>
            <w:spacing w:val="-1"/>
          </w:rPr>
          <w:t xml:space="preserve"> </w:t>
        </w:r>
        <w:r w:rsidR="0017742F">
          <w:t>Frequency</w:t>
        </w:r>
      </w:hyperlink>
      <w:r w:rsidR="0017742F">
        <w:tab/>
      </w:r>
      <w:hyperlink w:anchor="_bookmark3" w:history="1">
        <w:r w:rsidR="0017742F">
          <w:rPr>
            <w:rFonts w:ascii="Calibri"/>
          </w:rPr>
          <w:t>16</w:t>
        </w:r>
      </w:hyperlink>
    </w:p>
    <w:p w14:paraId="3483EEC9" w14:textId="77777777" w:rsidR="00AB3ABB" w:rsidRDefault="001B31B1">
      <w:pPr>
        <w:pStyle w:val="BodyText"/>
        <w:tabs>
          <w:tab w:val="right" w:leader="dot" w:pos="9141"/>
        </w:tabs>
        <w:spacing w:before="122"/>
        <w:ind w:left="341"/>
        <w:jc w:val="left"/>
        <w:rPr>
          <w:rFonts w:ascii="Calibri"/>
        </w:rPr>
      </w:pPr>
      <w:hyperlink w:anchor="_bookmark4" w:history="1">
        <w:r w:rsidR="0017742F">
          <w:t>Interventions</w:t>
        </w:r>
      </w:hyperlink>
      <w:r w:rsidR="0017742F">
        <w:tab/>
      </w:r>
      <w:hyperlink w:anchor="_bookmark4" w:history="1">
        <w:r w:rsidR="0017742F">
          <w:rPr>
            <w:rFonts w:ascii="Calibri"/>
          </w:rPr>
          <w:t>18</w:t>
        </w:r>
      </w:hyperlink>
    </w:p>
    <w:p w14:paraId="446C7587" w14:textId="19EFF4A5" w:rsidR="00AB3ABB" w:rsidRDefault="001B31B1">
      <w:pPr>
        <w:pStyle w:val="BodyText"/>
        <w:tabs>
          <w:tab w:val="right" w:leader="dot" w:pos="9141"/>
        </w:tabs>
        <w:spacing w:before="120"/>
        <w:ind w:left="341"/>
        <w:jc w:val="left"/>
        <w:rPr>
          <w:rFonts w:ascii="Calibri"/>
        </w:rPr>
      </w:pPr>
      <w:hyperlink w:anchor="_bookmark5" w:history="1">
        <w:r w:rsidR="0017742F">
          <w:t>Referrals to Inpatient Services and Length</w:t>
        </w:r>
        <w:r w:rsidR="0017742F">
          <w:rPr>
            <w:spacing w:val="-6"/>
          </w:rPr>
          <w:t xml:space="preserve"> </w:t>
        </w:r>
        <w:r w:rsidR="0017742F">
          <w:t>of</w:t>
        </w:r>
        <w:r w:rsidR="0017742F">
          <w:rPr>
            <w:spacing w:val="1"/>
          </w:rPr>
          <w:t xml:space="preserve"> </w:t>
        </w:r>
        <w:r w:rsidR="0017742F">
          <w:t>Stay</w:t>
        </w:r>
      </w:hyperlink>
      <w:r w:rsidR="0017742F">
        <w:tab/>
      </w:r>
      <w:hyperlink w:anchor="_bookmark5" w:history="1">
        <w:r w:rsidR="0017742F">
          <w:rPr>
            <w:rFonts w:ascii="Calibri"/>
          </w:rPr>
          <w:t>2</w:t>
        </w:r>
        <w:r w:rsidR="000E5733">
          <w:rPr>
            <w:rFonts w:ascii="Calibri"/>
          </w:rPr>
          <w:t>1</w:t>
        </w:r>
      </w:hyperlink>
    </w:p>
    <w:p w14:paraId="0FE59416" w14:textId="15CA2EEB" w:rsidR="00AB3ABB" w:rsidRDefault="001B31B1">
      <w:pPr>
        <w:pStyle w:val="BodyText"/>
        <w:tabs>
          <w:tab w:val="right" w:leader="dot" w:pos="9141"/>
        </w:tabs>
        <w:spacing w:before="123"/>
        <w:ind w:left="341"/>
        <w:jc w:val="left"/>
        <w:rPr>
          <w:rFonts w:ascii="Calibri"/>
        </w:rPr>
      </w:pPr>
      <w:hyperlink w:anchor="_bookmark6" w:history="1">
        <w:r w:rsidR="0017742F">
          <w:t>Disengagement Rates (Did Not</w:t>
        </w:r>
        <w:r w:rsidR="0017742F">
          <w:rPr>
            <w:spacing w:val="1"/>
          </w:rPr>
          <w:t xml:space="preserve"> </w:t>
        </w:r>
        <w:r w:rsidR="0017742F">
          <w:t>Attend</w:t>
        </w:r>
        <w:r w:rsidR="0017742F">
          <w:rPr>
            <w:spacing w:val="-2"/>
          </w:rPr>
          <w:t xml:space="preserve"> </w:t>
        </w:r>
        <w:r w:rsidR="0017742F">
          <w:t>(DNA))</w:t>
        </w:r>
      </w:hyperlink>
      <w:r w:rsidR="0017742F">
        <w:tab/>
      </w:r>
      <w:hyperlink w:anchor="_bookmark6" w:history="1">
        <w:r w:rsidR="002A28B8">
          <w:rPr>
            <w:rFonts w:ascii="Calibri"/>
          </w:rPr>
          <w:t>2</w:t>
        </w:r>
        <w:r w:rsidR="000E5733">
          <w:rPr>
            <w:rFonts w:ascii="Calibri"/>
          </w:rPr>
          <w:t>6</w:t>
        </w:r>
      </w:hyperlink>
    </w:p>
    <w:p w14:paraId="756ED3E0" w14:textId="4AA94F22" w:rsidR="00AB3ABB" w:rsidRDefault="001B31B1">
      <w:pPr>
        <w:pStyle w:val="BodyText"/>
        <w:tabs>
          <w:tab w:val="right" w:leader="dot" w:pos="9141"/>
        </w:tabs>
        <w:spacing w:before="120"/>
        <w:ind w:left="341"/>
        <w:jc w:val="left"/>
        <w:rPr>
          <w:rFonts w:ascii="Calibri"/>
        </w:rPr>
      </w:pPr>
      <w:hyperlink w:anchor="_bookmark7" w:history="1">
        <w:r w:rsidR="0017742F">
          <w:t>Clinical</w:t>
        </w:r>
        <w:r w:rsidR="0017742F">
          <w:rPr>
            <w:spacing w:val="-2"/>
          </w:rPr>
          <w:t xml:space="preserve"> </w:t>
        </w:r>
        <w:r w:rsidR="0017742F">
          <w:t>Outcomes</w:t>
        </w:r>
      </w:hyperlink>
      <w:r w:rsidR="0017742F">
        <w:tab/>
      </w:r>
      <w:hyperlink w:anchor="_bookmark7" w:history="1">
        <w:r w:rsidR="0017742F">
          <w:rPr>
            <w:rFonts w:ascii="Calibri"/>
          </w:rPr>
          <w:t>2</w:t>
        </w:r>
        <w:r w:rsidR="000E5733">
          <w:rPr>
            <w:rFonts w:ascii="Calibri"/>
          </w:rPr>
          <w:t>8</w:t>
        </w:r>
      </w:hyperlink>
    </w:p>
    <w:p w14:paraId="37C327F2" w14:textId="295FD86D" w:rsidR="00AB3ABB" w:rsidRDefault="001B31B1">
      <w:pPr>
        <w:pStyle w:val="BodyText"/>
        <w:tabs>
          <w:tab w:val="right" w:leader="dot" w:pos="9141"/>
        </w:tabs>
        <w:spacing w:before="121"/>
        <w:ind w:left="341"/>
        <w:jc w:val="left"/>
        <w:rPr>
          <w:rFonts w:ascii="Calibri"/>
        </w:rPr>
      </w:pPr>
      <w:hyperlink w:anchor="_bookmark8" w:history="1">
        <w:r w:rsidR="0017742F">
          <w:t>Patient Experience</w:t>
        </w:r>
      </w:hyperlink>
      <w:r w:rsidR="0017742F">
        <w:tab/>
      </w:r>
      <w:hyperlink w:anchor="_bookmark8" w:history="1">
        <w:r w:rsidR="0017742F">
          <w:rPr>
            <w:rFonts w:ascii="Calibri"/>
          </w:rPr>
          <w:t>3</w:t>
        </w:r>
        <w:r w:rsidR="000E5733">
          <w:rPr>
            <w:rFonts w:ascii="Calibri"/>
          </w:rPr>
          <w:t>5</w:t>
        </w:r>
      </w:hyperlink>
    </w:p>
    <w:p w14:paraId="61A9F665" w14:textId="77777777" w:rsidR="002A28B8" w:rsidRDefault="002A28B8">
      <w:pPr>
        <w:pStyle w:val="BodyText"/>
        <w:tabs>
          <w:tab w:val="right" w:leader="dot" w:pos="9141"/>
        </w:tabs>
        <w:spacing w:before="121"/>
        <w:ind w:left="341"/>
        <w:jc w:val="left"/>
        <w:rPr>
          <w:rFonts w:ascii="Calibri"/>
        </w:rPr>
      </w:pPr>
    </w:p>
    <w:p w14:paraId="54E03439" w14:textId="77777777" w:rsidR="00AB3ABB" w:rsidRDefault="00AB3ABB">
      <w:pPr>
        <w:rPr>
          <w:rFonts w:ascii="Calibri"/>
        </w:rPr>
        <w:sectPr w:rsidR="00AB3ABB">
          <w:pgSz w:w="11910" w:h="16840"/>
          <w:pgMar w:top="1720" w:right="1320" w:bottom="1120" w:left="1320" w:header="708" w:footer="920" w:gutter="0"/>
          <w:cols w:space="720"/>
        </w:sectPr>
      </w:pPr>
    </w:p>
    <w:p w14:paraId="38404939" w14:textId="77777777" w:rsidR="00AB3ABB" w:rsidRDefault="0017742F">
      <w:pPr>
        <w:pStyle w:val="BodyText"/>
        <w:spacing w:before="1"/>
        <w:jc w:val="left"/>
      </w:pPr>
      <w:r>
        <w:rPr>
          <w:u w:val="single"/>
        </w:rPr>
        <w:t>Publication of Service User Equality Data</w:t>
      </w:r>
    </w:p>
    <w:p w14:paraId="1545D35F" w14:textId="77777777" w:rsidR="00AB3ABB" w:rsidRDefault="0017742F">
      <w:pPr>
        <w:pStyle w:val="BodyText"/>
        <w:spacing w:before="435"/>
        <w:jc w:val="left"/>
      </w:pPr>
      <w:bookmarkStart w:id="0" w:name="_bookmark0"/>
      <w:bookmarkEnd w:id="0"/>
      <w:r>
        <w:rPr>
          <w:u w:val="single"/>
        </w:rPr>
        <w:t>Introduction</w:t>
      </w:r>
    </w:p>
    <w:p w14:paraId="32CA97D0" w14:textId="77777777" w:rsidR="00AB3ABB" w:rsidRDefault="00AB3ABB">
      <w:pPr>
        <w:pStyle w:val="BodyText"/>
        <w:ind w:left="0"/>
        <w:jc w:val="left"/>
        <w:rPr>
          <w:sz w:val="24"/>
        </w:rPr>
      </w:pPr>
    </w:p>
    <w:p w14:paraId="212ED829" w14:textId="77777777" w:rsidR="00AB3ABB" w:rsidRDefault="0017742F">
      <w:pPr>
        <w:pStyle w:val="BodyText"/>
        <w:spacing w:before="175" w:line="362" w:lineRule="auto"/>
        <w:jc w:val="left"/>
      </w:pPr>
      <w:r>
        <w:t>The general equality duty of the Equality Act 2010 requires the Trust in the exercise of its functions to have due regard to the need to:</w:t>
      </w:r>
    </w:p>
    <w:p w14:paraId="1D276F51" w14:textId="77777777" w:rsidR="00AB3ABB" w:rsidRDefault="0017742F">
      <w:pPr>
        <w:pStyle w:val="ListParagraph"/>
        <w:numPr>
          <w:ilvl w:val="0"/>
          <w:numId w:val="1"/>
        </w:numPr>
        <w:tabs>
          <w:tab w:val="left" w:pos="972"/>
          <w:tab w:val="left" w:pos="973"/>
        </w:tabs>
        <w:spacing w:before="154" w:line="350" w:lineRule="auto"/>
        <w:ind w:right="119"/>
      </w:pPr>
      <w:r>
        <w:t>Eliminate discrimination, harassment and victimisation and any other conduct that is prohibited by or under the</w:t>
      </w:r>
      <w:r>
        <w:rPr>
          <w:spacing w:val="-5"/>
        </w:rPr>
        <w:t xml:space="preserve"> </w:t>
      </w:r>
      <w:r>
        <w:t>Act.</w:t>
      </w:r>
    </w:p>
    <w:p w14:paraId="0CE648C7" w14:textId="77777777" w:rsidR="00AB3ABB" w:rsidRDefault="0017742F">
      <w:pPr>
        <w:pStyle w:val="ListParagraph"/>
        <w:numPr>
          <w:ilvl w:val="0"/>
          <w:numId w:val="1"/>
        </w:numPr>
        <w:tabs>
          <w:tab w:val="left" w:pos="972"/>
          <w:tab w:val="left" w:pos="973"/>
        </w:tabs>
        <w:spacing w:before="10" w:line="350" w:lineRule="auto"/>
        <w:ind w:right="112"/>
      </w:pPr>
      <w:r>
        <w:t>Advance equality of opportunity between people who share a relevant protected characteristic and people who do not share</w:t>
      </w:r>
      <w:r>
        <w:rPr>
          <w:spacing w:val="-8"/>
        </w:rPr>
        <w:t xml:space="preserve"> </w:t>
      </w:r>
      <w:r>
        <w:t>it.</w:t>
      </w:r>
    </w:p>
    <w:p w14:paraId="79829F4E" w14:textId="77777777" w:rsidR="00AB3ABB" w:rsidRDefault="0017742F">
      <w:pPr>
        <w:pStyle w:val="ListParagraph"/>
        <w:numPr>
          <w:ilvl w:val="0"/>
          <w:numId w:val="1"/>
        </w:numPr>
        <w:tabs>
          <w:tab w:val="left" w:pos="972"/>
          <w:tab w:val="left" w:pos="973"/>
        </w:tabs>
        <w:spacing w:before="13" w:line="350" w:lineRule="auto"/>
        <w:ind w:right="118" w:hanging="459"/>
      </w:pPr>
      <w:r>
        <w:t>Foster good relations between people who share a relevant protected characteristic and those who do not share</w:t>
      </w:r>
      <w:r>
        <w:rPr>
          <w:spacing w:val="-5"/>
        </w:rPr>
        <w:t xml:space="preserve"> </w:t>
      </w:r>
      <w:r>
        <w:t>it.</w:t>
      </w:r>
    </w:p>
    <w:p w14:paraId="23266933" w14:textId="77777777" w:rsidR="00AB3ABB" w:rsidRDefault="00AB3ABB">
      <w:pPr>
        <w:pStyle w:val="BodyText"/>
        <w:spacing w:before="10"/>
        <w:ind w:left="0"/>
        <w:jc w:val="left"/>
        <w:rPr>
          <w:sz w:val="33"/>
        </w:rPr>
      </w:pPr>
    </w:p>
    <w:p w14:paraId="139E98BB" w14:textId="77777777" w:rsidR="00AB3ABB" w:rsidRDefault="0017742F">
      <w:pPr>
        <w:pStyle w:val="BodyText"/>
        <w:spacing w:line="360" w:lineRule="auto"/>
        <w:ind w:right="115"/>
      </w:pPr>
      <w:r>
        <w:t>The Trust must publish information to demonstrate its compliance with the general equality duty. This information must include information relating to service users who share a</w:t>
      </w:r>
      <w:r>
        <w:rPr>
          <w:spacing w:val="-40"/>
        </w:rPr>
        <w:t xml:space="preserve"> </w:t>
      </w:r>
      <w:r>
        <w:t>relevant protected characteristic who are affected by its policies and practices. The protected characteristics are sex, race, sexual orientation, gender reassignment, disability, religion and belief, marriage and civil partnership, age and pregnancy and</w:t>
      </w:r>
      <w:r>
        <w:rPr>
          <w:spacing w:val="-11"/>
        </w:rPr>
        <w:t xml:space="preserve"> </w:t>
      </w:r>
      <w:r>
        <w:t>maternity.</w:t>
      </w:r>
    </w:p>
    <w:p w14:paraId="4655F12F" w14:textId="77777777" w:rsidR="00AB3ABB" w:rsidRDefault="0017742F">
      <w:pPr>
        <w:pStyle w:val="BodyText"/>
        <w:spacing w:before="160" w:line="360" w:lineRule="auto"/>
        <w:ind w:right="115"/>
      </w:pPr>
      <w:r>
        <w:t xml:space="preserve">An in-depth analysis of Trust data has been performed to identify any statistically significant differences within protected characteristic groups across </w:t>
      </w:r>
      <w:proofErr w:type="gramStart"/>
      <w:r>
        <w:t>a number of</w:t>
      </w:r>
      <w:proofErr w:type="gramEnd"/>
      <w:r>
        <w:t xml:space="preserve"> measures deemed to be important. These measures include Access to Service (including weighting by census), waiting times, contacts (frequency), Interventions, Clinical Outcomes, Disengagement (dropout rates), Inpatient Spells and Patient Experience. This report aims to track key elements of a patient journey through a protected characteristic</w:t>
      </w:r>
      <w:r>
        <w:rPr>
          <w:spacing w:val="-12"/>
        </w:rPr>
        <w:t xml:space="preserve"> </w:t>
      </w:r>
      <w:r>
        <w:t>lens.</w:t>
      </w:r>
    </w:p>
    <w:p w14:paraId="6A127B34" w14:textId="77777777" w:rsidR="00AB3ABB" w:rsidRDefault="0017742F">
      <w:pPr>
        <w:pStyle w:val="BodyText"/>
        <w:spacing w:before="162" w:line="360" w:lineRule="auto"/>
        <w:ind w:right="113"/>
      </w:pPr>
      <w:r>
        <w:t xml:space="preserve">All data was extracted from the patient record system </w:t>
      </w:r>
      <w:proofErr w:type="gramStart"/>
      <w:r>
        <w:t>with the exception of</w:t>
      </w:r>
      <w:proofErr w:type="gramEnd"/>
      <w:r>
        <w:t xml:space="preserve"> the patient experience measure. All analysis was conducted at a patient level using SPSS V28 and all significance testing was evaluated at a 95% confidence (0.05</w:t>
      </w:r>
      <w:r>
        <w:rPr>
          <w:spacing w:val="-9"/>
        </w:rPr>
        <w:t xml:space="preserve"> </w:t>
      </w:r>
      <w:r>
        <w:t>alpha).</w:t>
      </w:r>
    </w:p>
    <w:p w14:paraId="620D5FA4" w14:textId="77777777" w:rsidR="00AB3ABB" w:rsidRDefault="00AB3ABB">
      <w:pPr>
        <w:spacing w:line="360" w:lineRule="auto"/>
        <w:sectPr w:rsidR="00AB3ABB">
          <w:pgSz w:w="11910" w:h="16840"/>
          <w:pgMar w:top="1720" w:right="1320" w:bottom="1200" w:left="1320" w:header="708" w:footer="920" w:gutter="0"/>
          <w:cols w:space="720"/>
        </w:sectPr>
      </w:pPr>
    </w:p>
    <w:p w14:paraId="361B0A0B" w14:textId="77777777" w:rsidR="00AB3ABB" w:rsidRDefault="0017742F">
      <w:pPr>
        <w:pStyle w:val="BodyText"/>
        <w:spacing w:before="3"/>
      </w:pPr>
      <w:bookmarkStart w:id="1" w:name="_bookmark1"/>
      <w:bookmarkEnd w:id="1"/>
      <w:r w:rsidRPr="00795B7C">
        <w:rPr>
          <w:u w:val="single"/>
        </w:rPr>
        <w:t>Access to Services</w:t>
      </w:r>
    </w:p>
    <w:p w14:paraId="465D1E50" w14:textId="4C6A6E03" w:rsidR="00AB3ABB" w:rsidRDefault="0017742F">
      <w:pPr>
        <w:pStyle w:val="BodyText"/>
        <w:spacing w:before="13" w:line="357" w:lineRule="auto"/>
        <w:ind w:right="116"/>
      </w:pPr>
      <w:r>
        <w:rPr>
          <w:color w:val="5A5A5A"/>
        </w:rPr>
        <w:t xml:space="preserve">Data: </w:t>
      </w:r>
      <w:r>
        <w:t>Access to services contains all referrals into the Trust between 1</w:t>
      </w:r>
      <w:proofErr w:type="spellStart"/>
      <w:r>
        <w:rPr>
          <w:position w:val="8"/>
          <w:sz w:val="14"/>
        </w:rPr>
        <w:t>st</w:t>
      </w:r>
      <w:proofErr w:type="spellEnd"/>
      <w:r>
        <w:rPr>
          <w:position w:val="8"/>
          <w:sz w:val="14"/>
        </w:rPr>
        <w:t xml:space="preserve"> </w:t>
      </w:r>
      <w:r>
        <w:t>January 202</w:t>
      </w:r>
      <w:r w:rsidR="00C71FB1">
        <w:t>2</w:t>
      </w:r>
      <w:r>
        <w:t xml:space="preserve"> and 31</w:t>
      </w:r>
      <w:proofErr w:type="spellStart"/>
      <w:r>
        <w:rPr>
          <w:position w:val="8"/>
          <w:sz w:val="14"/>
        </w:rPr>
        <w:t>st</w:t>
      </w:r>
      <w:proofErr w:type="spellEnd"/>
      <w:r>
        <w:rPr>
          <w:position w:val="8"/>
          <w:sz w:val="14"/>
        </w:rPr>
        <w:t xml:space="preserve"> </w:t>
      </w:r>
      <w:r>
        <w:t>December 202</w:t>
      </w:r>
      <w:r w:rsidR="00C71FB1">
        <w:t>2</w:t>
      </w:r>
      <w:r>
        <w:t xml:space="preserve">. Patients are only counted once. Marital status, Ethnicity, Gender, Religion, Sexual </w:t>
      </w:r>
      <w:proofErr w:type="gramStart"/>
      <w:r>
        <w:t>orientation</w:t>
      </w:r>
      <w:proofErr w:type="gramEnd"/>
      <w:r>
        <w:t xml:space="preserve"> and age were included in the data.</w:t>
      </w:r>
    </w:p>
    <w:p w14:paraId="2A0B4FF8" w14:textId="77777777" w:rsidR="00C71FB1" w:rsidRDefault="00C71FB1">
      <w:pPr>
        <w:pStyle w:val="BodyText"/>
        <w:spacing w:before="13" w:line="357" w:lineRule="auto"/>
        <w:ind w:right="116"/>
      </w:pPr>
    </w:p>
    <w:p w14:paraId="7DFF06F4" w14:textId="3DB94014" w:rsidR="00E24CD8" w:rsidRPr="00EA37DB" w:rsidRDefault="0017742F" w:rsidP="00E24CD8">
      <w:pPr>
        <w:adjustRightInd w:val="0"/>
        <w:spacing w:line="360" w:lineRule="auto"/>
        <w:ind w:left="142"/>
        <w:rPr>
          <w:color w:val="000000"/>
        </w:rPr>
      </w:pPr>
      <w:r>
        <w:rPr>
          <w:color w:val="5A5A5A"/>
        </w:rPr>
        <w:t xml:space="preserve">Analysis: </w:t>
      </w:r>
      <w:r w:rsidR="00C71FB1" w:rsidRPr="00EA37DB">
        <w:rPr>
          <w:color w:val="000000"/>
        </w:rPr>
        <w:t xml:space="preserve">Descriptive statistics were utilised to identify the access rates across the protected groups. </w:t>
      </w:r>
      <w:bookmarkStart w:id="2" w:name="_Hlk128042245"/>
      <w:r w:rsidR="00C71FB1" w:rsidRPr="00EA37DB">
        <w:rPr>
          <w:color w:val="000000"/>
        </w:rPr>
        <w:t xml:space="preserve">This data was compared to the 2021 ONS Census data, where available, </w:t>
      </w:r>
      <w:proofErr w:type="gramStart"/>
      <w:r w:rsidR="00C71FB1" w:rsidRPr="00EA37DB">
        <w:rPr>
          <w:color w:val="000000"/>
        </w:rPr>
        <w:t>in order to</w:t>
      </w:r>
      <w:proofErr w:type="gramEnd"/>
      <w:r w:rsidR="00C71FB1" w:rsidRPr="00EA37DB">
        <w:rPr>
          <w:color w:val="000000"/>
        </w:rPr>
        <w:t xml:space="preserve"> understand the population prevalence of the groups. Marital status was the only characteristic which had to be compared against 2011 ONS Census data as 2021 had not been released at the time or writing. Reporting </w:t>
      </w:r>
      <w:r w:rsidR="00C71FB1">
        <w:rPr>
          <w:color w:val="000000"/>
        </w:rPr>
        <w:t>is now mapped to the</w:t>
      </w:r>
      <w:r w:rsidR="00C71FB1" w:rsidRPr="00EA37DB">
        <w:rPr>
          <w:color w:val="000000"/>
        </w:rPr>
        <w:t xml:space="preserve"> two care </w:t>
      </w:r>
      <w:proofErr w:type="gramStart"/>
      <w:r w:rsidR="00C71FB1" w:rsidRPr="00EA37DB">
        <w:rPr>
          <w:color w:val="000000"/>
        </w:rPr>
        <w:t>groups;</w:t>
      </w:r>
      <w:proofErr w:type="gramEnd"/>
      <w:r w:rsidR="00C71FB1" w:rsidRPr="00EA37DB">
        <w:rPr>
          <w:color w:val="000000"/>
        </w:rPr>
        <w:t xml:space="preserve"> North Care Group (Durham, Tees Valley and Forensics) and South Care Group (North Yorkshire and York). Forensic Services is now no longer captured separately. </w:t>
      </w:r>
    </w:p>
    <w:bookmarkEnd w:id="2"/>
    <w:p w14:paraId="04ABAB0A" w14:textId="406EFA02" w:rsidR="00AB3ABB" w:rsidRDefault="0017742F" w:rsidP="00C71FB1">
      <w:pPr>
        <w:pStyle w:val="BodyText"/>
        <w:spacing w:before="163" w:line="360" w:lineRule="auto"/>
        <w:ind w:right="113"/>
      </w:pPr>
      <w:r>
        <w:rPr>
          <w:color w:val="5A5A5A"/>
        </w:rPr>
        <w:t>Results:</w:t>
      </w:r>
    </w:p>
    <w:p w14:paraId="5D6422BA" w14:textId="4CC246A2" w:rsidR="00046C0C" w:rsidRPr="00EA37DB" w:rsidRDefault="0017742F" w:rsidP="00046C0C">
      <w:pPr>
        <w:adjustRightInd w:val="0"/>
        <w:spacing w:line="360" w:lineRule="auto"/>
        <w:ind w:left="142"/>
        <w:rPr>
          <w:color w:val="000000"/>
        </w:rPr>
      </w:pPr>
      <w:r>
        <w:rPr>
          <w:color w:val="5A5A5A"/>
          <w:spacing w:val="12"/>
        </w:rPr>
        <w:t>Ethnicity:</w:t>
      </w:r>
      <w:r w:rsidR="00046C0C">
        <w:rPr>
          <w:color w:val="5A5A5A"/>
          <w:spacing w:val="12"/>
        </w:rPr>
        <w:t xml:space="preserve"> </w:t>
      </w:r>
      <w:r w:rsidR="00046C0C" w:rsidRPr="00EA37DB">
        <w:rPr>
          <w:color w:val="000000"/>
        </w:rPr>
        <w:t>Access to services across ethnic groups aligns to the 2021 census data. The percentage of patients accessing services appears to be proportionate when weighted by the size of the populations we serve. Approximately 80% of patients accessing services are White-British. Last year this figure was approximately 90%.</w:t>
      </w:r>
    </w:p>
    <w:p w14:paraId="4DA7FB4D" w14:textId="672D8760" w:rsidR="00AB3ABB" w:rsidRDefault="00046C0C" w:rsidP="00046C0C">
      <w:pPr>
        <w:adjustRightInd w:val="0"/>
        <w:spacing w:line="360" w:lineRule="auto"/>
        <w:ind w:left="142"/>
        <w:rPr>
          <w:color w:val="000000"/>
        </w:rPr>
      </w:pPr>
      <w:r w:rsidRPr="00EA37DB">
        <w:rPr>
          <w:color w:val="000000"/>
        </w:rPr>
        <w:t xml:space="preserve">16.29% of records have no ethnicity recorded. This is a marked increase on last which had 1.5% of records with no ethnicity recorded. </w:t>
      </w:r>
    </w:p>
    <w:p w14:paraId="58AF5B45" w14:textId="77777777" w:rsidR="00046C0C" w:rsidRPr="00046C0C" w:rsidRDefault="00046C0C" w:rsidP="00046C0C">
      <w:pPr>
        <w:adjustRightInd w:val="0"/>
        <w:spacing w:line="360" w:lineRule="auto"/>
        <w:ind w:left="142"/>
        <w:rPr>
          <w:color w:val="000000"/>
        </w:rPr>
      </w:pPr>
    </w:p>
    <w:p w14:paraId="3911FDBA" w14:textId="1690A02C" w:rsidR="001166A2" w:rsidRDefault="0017742F" w:rsidP="00E24CD8">
      <w:pPr>
        <w:adjustRightInd w:val="0"/>
        <w:spacing w:line="360" w:lineRule="auto"/>
        <w:ind w:left="142"/>
        <w:rPr>
          <w:color w:val="000000"/>
        </w:rPr>
      </w:pPr>
      <w:r>
        <w:rPr>
          <w:color w:val="5A5A5A"/>
        </w:rPr>
        <w:t xml:space="preserve">Marital Status: </w:t>
      </w:r>
      <w:r w:rsidR="00046C0C" w:rsidRPr="00046C0C">
        <w:t>Approximately</w:t>
      </w:r>
      <w:r w:rsidR="00046C0C" w:rsidRPr="00EA37DB">
        <w:rPr>
          <w:color w:val="5A5A5A"/>
        </w:rPr>
        <w:t xml:space="preserve"> </w:t>
      </w:r>
      <w:r w:rsidR="00046C0C" w:rsidRPr="00EA37DB">
        <w:rPr>
          <w:color w:val="000000"/>
        </w:rPr>
        <w:t>8% of records have a marital status of Not Disclosed/Not Known. This has improved greatly from last year which had a figure of 20%</w:t>
      </w:r>
      <w:r w:rsidR="001166A2">
        <w:rPr>
          <w:color w:val="000000"/>
        </w:rPr>
        <w:t>.</w:t>
      </w:r>
    </w:p>
    <w:p w14:paraId="455D8277" w14:textId="77777777" w:rsidR="00E24CD8" w:rsidRPr="00EA37DB" w:rsidRDefault="00E24CD8" w:rsidP="00E24CD8">
      <w:pPr>
        <w:adjustRightInd w:val="0"/>
        <w:spacing w:line="360" w:lineRule="auto"/>
        <w:ind w:left="142"/>
        <w:rPr>
          <w:color w:val="000000"/>
        </w:rPr>
      </w:pPr>
    </w:p>
    <w:p w14:paraId="35EFF401" w14:textId="6F5B01FF" w:rsidR="00046C0C" w:rsidRDefault="00046C0C" w:rsidP="00E24CD8">
      <w:pPr>
        <w:adjustRightInd w:val="0"/>
        <w:spacing w:line="360" w:lineRule="auto"/>
        <w:ind w:left="142"/>
        <w:rPr>
          <w:color w:val="000000"/>
        </w:rPr>
      </w:pPr>
      <w:r w:rsidRPr="00EA37DB">
        <w:rPr>
          <w:color w:val="000000"/>
        </w:rPr>
        <w:t>TEWV have a higher proportion of referrals from patients classified as single (approximately 38%) compared to any other group. However, this was around 50% last year</w:t>
      </w:r>
      <w:r w:rsidR="001166A2">
        <w:rPr>
          <w:color w:val="000000"/>
        </w:rPr>
        <w:t>.</w:t>
      </w:r>
      <w:r w:rsidRPr="00EA37DB">
        <w:rPr>
          <w:color w:val="000000"/>
        </w:rPr>
        <w:t xml:space="preserve"> The </w:t>
      </w:r>
      <w:r w:rsidR="001166A2">
        <w:rPr>
          <w:color w:val="000000"/>
        </w:rPr>
        <w:t>percentage of single patients</w:t>
      </w:r>
      <w:r w:rsidRPr="00EA37DB">
        <w:rPr>
          <w:color w:val="000000"/>
        </w:rPr>
        <w:t xml:space="preserve"> is around 6% higher than the figures captured in the 2011 census data</w:t>
      </w:r>
      <w:r w:rsidR="001166A2">
        <w:rPr>
          <w:color w:val="000000"/>
        </w:rPr>
        <w:t>. In addition,</w:t>
      </w:r>
      <w:r w:rsidRPr="00EA37DB">
        <w:rPr>
          <w:color w:val="000000"/>
        </w:rPr>
        <w:t xml:space="preserve"> </w:t>
      </w:r>
      <w:r w:rsidR="001166A2">
        <w:rPr>
          <w:color w:val="000000"/>
        </w:rPr>
        <w:t>p</w:t>
      </w:r>
      <w:r w:rsidR="001166A2" w:rsidRPr="00EA37DB">
        <w:rPr>
          <w:color w:val="000000"/>
        </w:rPr>
        <w:t>atients classing themselves as married or with a civil partner are around 18% lower than figures captured in the 2011 census data.</w:t>
      </w:r>
      <w:r w:rsidR="001166A2">
        <w:rPr>
          <w:color w:val="000000"/>
        </w:rPr>
        <w:t xml:space="preserve"> </w:t>
      </w:r>
      <w:r w:rsidRPr="00EA37DB">
        <w:rPr>
          <w:color w:val="000000"/>
        </w:rPr>
        <w:t xml:space="preserve">There were no other significant trends to note in relation to access to services between marital status groups. </w:t>
      </w:r>
    </w:p>
    <w:p w14:paraId="1168951E" w14:textId="77777777" w:rsidR="00BE4EA6" w:rsidRPr="00E24CD8" w:rsidRDefault="00BE4EA6" w:rsidP="00E24CD8">
      <w:pPr>
        <w:adjustRightInd w:val="0"/>
        <w:spacing w:line="360" w:lineRule="auto"/>
        <w:ind w:left="142"/>
        <w:rPr>
          <w:color w:val="000000"/>
        </w:rPr>
      </w:pPr>
    </w:p>
    <w:p w14:paraId="034F3E93" w14:textId="742D4E93" w:rsidR="00BE4EA6" w:rsidRDefault="0017742F" w:rsidP="00BE4EA6">
      <w:pPr>
        <w:adjustRightInd w:val="0"/>
        <w:spacing w:line="360" w:lineRule="auto"/>
        <w:ind w:left="142"/>
        <w:rPr>
          <w:color w:val="000000"/>
        </w:rPr>
      </w:pPr>
      <w:r>
        <w:rPr>
          <w:color w:val="5A5A5A"/>
        </w:rPr>
        <w:t xml:space="preserve">Gender: </w:t>
      </w:r>
      <w:r w:rsidR="00BE4EA6" w:rsidRPr="00EA37DB">
        <w:rPr>
          <w:color w:val="000000"/>
        </w:rPr>
        <w:t>Census weighting could only be applied to female and male gender classifications; however, these make up 98.5% of the data recorded.</w:t>
      </w:r>
    </w:p>
    <w:p w14:paraId="092C63D4" w14:textId="77777777" w:rsidR="00BE4EA6" w:rsidRPr="00EA37DB" w:rsidRDefault="00BE4EA6" w:rsidP="00BE4EA6">
      <w:pPr>
        <w:adjustRightInd w:val="0"/>
        <w:spacing w:line="360" w:lineRule="auto"/>
        <w:ind w:left="142"/>
        <w:rPr>
          <w:color w:val="000000"/>
        </w:rPr>
      </w:pPr>
    </w:p>
    <w:p w14:paraId="12204CCB" w14:textId="77777777" w:rsidR="00BE4EA6" w:rsidRPr="00EA37DB" w:rsidRDefault="00BE4EA6" w:rsidP="00BE4EA6">
      <w:pPr>
        <w:adjustRightInd w:val="0"/>
        <w:spacing w:line="360" w:lineRule="auto"/>
        <w:ind w:left="142"/>
        <w:rPr>
          <w:color w:val="000000"/>
        </w:rPr>
      </w:pPr>
      <w:r w:rsidRPr="00EA37DB">
        <w:rPr>
          <w:color w:val="000000"/>
        </w:rPr>
        <w:t xml:space="preserve">North Yorkshire and York have a significantly higher proportion of female referrals accessing services compared to the female population served (58.58% compared to 48.54%). </w:t>
      </w:r>
    </w:p>
    <w:p w14:paraId="14B6502C" w14:textId="06FE6A66" w:rsidR="00AB3ABB" w:rsidRDefault="0017742F" w:rsidP="00BE4EA6">
      <w:pPr>
        <w:pStyle w:val="BodyText"/>
        <w:spacing w:before="160" w:line="362" w:lineRule="auto"/>
        <w:ind w:right="114"/>
      </w:pPr>
      <w:r>
        <w:t>No other significant differences were</w:t>
      </w:r>
      <w:r>
        <w:rPr>
          <w:spacing w:val="-5"/>
        </w:rPr>
        <w:t xml:space="preserve"> </w:t>
      </w:r>
      <w:r>
        <w:t>noted.</w:t>
      </w:r>
    </w:p>
    <w:p w14:paraId="69448F3D" w14:textId="77777777" w:rsidR="00BE4EA6" w:rsidRDefault="00BE4EA6" w:rsidP="00BE4EA6">
      <w:pPr>
        <w:pStyle w:val="BodyText"/>
        <w:spacing w:before="160" w:line="362" w:lineRule="auto"/>
        <w:ind w:right="114"/>
      </w:pPr>
    </w:p>
    <w:p w14:paraId="0ECBED0B" w14:textId="408EC68E" w:rsidR="00BE4EA6" w:rsidRDefault="0017742F" w:rsidP="00BE4EA6">
      <w:pPr>
        <w:adjustRightInd w:val="0"/>
        <w:spacing w:line="360" w:lineRule="auto"/>
        <w:ind w:left="142"/>
      </w:pPr>
      <w:r>
        <w:rPr>
          <w:color w:val="5A5A5A"/>
        </w:rPr>
        <w:t xml:space="preserve">Religion: </w:t>
      </w:r>
      <w:r w:rsidR="00BE4EA6" w:rsidRPr="00EA37DB">
        <w:t>Approximately 47% of records have a religious status of None (30%) or Not Stated (17.5%). Furthermore, those with ‘Patient religion unknown’ amount to 20%</w:t>
      </w:r>
      <w:r w:rsidR="00BE4EA6">
        <w:t>.</w:t>
      </w:r>
    </w:p>
    <w:p w14:paraId="406414BF" w14:textId="77777777" w:rsidR="00BE4EA6" w:rsidRPr="00EA37DB" w:rsidRDefault="00BE4EA6" w:rsidP="00BE4EA6">
      <w:pPr>
        <w:adjustRightInd w:val="0"/>
        <w:spacing w:line="360" w:lineRule="auto"/>
        <w:ind w:left="142"/>
        <w:rPr>
          <w:color w:val="5A5A5A"/>
        </w:rPr>
      </w:pPr>
    </w:p>
    <w:p w14:paraId="405176D1" w14:textId="30301495" w:rsidR="00BE4EA6" w:rsidRDefault="00BE4EA6" w:rsidP="00BE4EA6">
      <w:pPr>
        <w:adjustRightInd w:val="0"/>
        <w:spacing w:line="360" w:lineRule="auto"/>
        <w:ind w:left="142"/>
        <w:rPr>
          <w:color w:val="000000"/>
        </w:rPr>
      </w:pPr>
      <w:r w:rsidRPr="00EA37DB">
        <w:rPr>
          <w:color w:val="000000"/>
        </w:rPr>
        <w:t xml:space="preserve">The largest religious group accessing services are Christian </w:t>
      </w:r>
      <w:r>
        <w:rPr>
          <w:color w:val="000000"/>
        </w:rPr>
        <w:t xml:space="preserve">at </w:t>
      </w:r>
      <w:r w:rsidRPr="00EA37DB">
        <w:rPr>
          <w:color w:val="000000"/>
        </w:rPr>
        <w:t xml:space="preserve">26.03% </w:t>
      </w:r>
      <w:r>
        <w:rPr>
          <w:color w:val="000000"/>
        </w:rPr>
        <w:t>(</w:t>
      </w:r>
      <w:r w:rsidRPr="00EA37DB">
        <w:rPr>
          <w:color w:val="000000"/>
        </w:rPr>
        <w:t xml:space="preserve">this was 34.69% last year), however this is significantly less than the Christian population served (approximately 52% in census 2021 data </w:t>
      </w:r>
      <w:r>
        <w:rPr>
          <w:color w:val="000000"/>
        </w:rPr>
        <w:t>compared to</w:t>
      </w:r>
      <w:r w:rsidRPr="00EA37DB">
        <w:rPr>
          <w:color w:val="000000"/>
        </w:rPr>
        <w:t xml:space="preserve"> 69% in the 2011).</w:t>
      </w:r>
    </w:p>
    <w:p w14:paraId="2A2D8ABC" w14:textId="77777777" w:rsidR="00BE4EA6" w:rsidRPr="00EA37DB" w:rsidRDefault="00BE4EA6" w:rsidP="00BE4EA6">
      <w:pPr>
        <w:adjustRightInd w:val="0"/>
        <w:spacing w:line="360" w:lineRule="auto"/>
        <w:ind w:left="142"/>
        <w:rPr>
          <w:color w:val="000000"/>
        </w:rPr>
      </w:pPr>
    </w:p>
    <w:p w14:paraId="10481622" w14:textId="77777777" w:rsidR="00BE4EA6" w:rsidRPr="00EA37DB" w:rsidRDefault="00BE4EA6" w:rsidP="00BE4EA6">
      <w:pPr>
        <w:adjustRightInd w:val="0"/>
        <w:spacing w:line="360" w:lineRule="auto"/>
        <w:ind w:left="142"/>
        <w:rPr>
          <w:color w:val="000000"/>
        </w:rPr>
      </w:pPr>
      <w:r w:rsidRPr="00EA37DB">
        <w:rPr>
          <w:color w:val="000000"/>
        </w:rPr>
        <w:t>The proportion of people accessing services who identify as Hindu, Buddhist, Sikh and Muslim are smaller than the population served.</w:t>
      </w:r>
    </w:p>
    <w:p w14:paraId="05571358" w14:textId="77777777" w:rsidR="001E4141" w:rsidRDefault="001E4141" w:rsidP="001E4141">
      <w:pPr>
        <w:pStyle w:val="BodyText"/>
        <w:spacing w:before="1" w:line="360" w:lineRule="auto"/>
        <w:ind w:left="0" w:right="113"/>
      </w:pPr>
    </w:p>
    <w:p w14:paraId="75B951A1" w14:textId="589C8429" w:rsidR="00B9403C" w:rsidRDefault="0017742F" w:rsidP="00B9403C">
      <w:pPr>
        <w:adjustRightInd w:val="0"/>
        <w:spacing w:line="360" w:lineRule="auto"/>
        <w:ind w:left="142"/>
        <w:rPr>
          <w:color w:val="000000"/>
        </w:rPr>
      </w:pPr>
      <w:r>
        <w:rPr>
          <w:color w:val="5A5A5A"/>
          <w:spacing w:val="11"/>
        </w:rPr>
        <w:t xml:space="preserve">Sexual </w:t>
      </w:r>
      <w:r>
        <w:rPr>
          <w:color w:val="5A5A5A"/>
          <w:spacing w:val="13"/>
        </w:rPr>
        <w:t xml:space="preserve">Orientation: </w:t>
      </w:r>
      <w:r w:rsidR="00B9403C" w:rsidRPr="00EA37DB">
        <w:rPr>
          <w:color w:val="000000"/>
        </w:rPr>
        <w:t xml:space="preserve">26% of the data was not known in relation to sexual orientation, 13% was not age or developmentally appropriate, 7.5% declined to say. Of the remaining groups, 47.92% of patients accessing services identified as Heterosexual, 1.66% as gay/lesbian and 1.51% as bi-sexual. There were no significant differences between Localities or with last </w:t>
      </w:r>
      <w:proofErr w:type="spellStart"/>
      <w:r w:rsidR="00B9403C" w:rsidRPr="00EA37DB">
        <w:rPr>
          <w:color w:val="000000"/>
        </w:rPr>
        <w:t>years</w:t>
      </w:r>
      <w:proofErr w:type="spellEnd"/>
      <w:r w:rsidR="00B9403C" w:rsidRPr="00EA37DB">
        <w:rPr>
          <w:color w:val="000000"/>
        </w:rPr>
        <w:t xml:space="preserve"> data. </w:t>
      </w:r>
    </w:p>
    <w:p w14:paraId="07870DDD" w14:textId="77777777" w:rsidR="00B9403C" w:rsidRPr="00EA37DB" w:rsidRDefault="00B9403C" w:rsidP="00B9403C">
      <w:pPr>
        <w:adjustRightInd w:val="0"/>
        <w:spacing w:line="360" w:lineRule="auto"/>
        <w:ind w:left="142"/>
        <w:rPr>
          <w:color w:val="000000"/>
        </w:rPr>
      </w:pPr>
    </w:p>
    <w:p w14:paraId="45569D03" w14:textId="77777777" w:rsidR="009D3650" w:rsidRPr="00EA37DB" w:rsidRDefault="009D3650" w:rsidP="009D3650">
      <w:pPr>
        <w:adjustRightInd w:val="0"/>
        <w:spacing w:line="360" w:lineRule="auto"/>
        <w:ind w:left="142"/>
        <w:rPr>
          <w:color w:val="000000"/>
        </w:rPr>
      </w:pPr>
      <w:r w:rsidRPr="009D3650">
        <w:rPr>
          <w:color w:val="5A5A5A"/>
        </w:rPr>
        <w:t xml:space="preserve">Age: </w:t>
      </w:r>
      <w:r w:rsidRPr="009D3650">
        <w:rPr>
          <w:color w:val="000000"/>
        </w:rPr>
        <w:t xml:space="preserve">The percentage of children and young people under 18 years accessing services is higher than the population figures across all Localities but most pronounced in Durham, Tees </w:t>
      </w:r>
      <w:proofErr w:type="gramStart"/>
      <w:r w:rsidRPr="009D3650">
        <w:rPr>
          <w:color w:val="000000"/>
        </w:rPr>
        <w:t>Valley</w:t>
      </w:r>
      <w:proofErr w:type="gramEnd"/>
      <w:r w:rsidRPr="009D3650">
        <w:rPr>
          <w:color w:val="000000"/>
        </w:rPr>
        <w:t xml:space="preserve"> and Forensics (26.94% of access to services in D&amp;D relates to under 18 compared to 22.16% population rates in the locality).</w:t>
      </w:r>
    </w:p>
    <w:p w14:paraId="495B0EE1" w14:textId="77777777" w:rsidR="009D3650" w:rsidRPr="00EA37DB" w:rsidRDefault="009D3650" w:rsidP="00B9403C">
      <w:pPr>
        <w:adjustRightInd w:val="0"/>
        <w:spacing w:line="360" w:lineRule="auto"/>
        <w:ind w:left="142"/>
        <w:rPr>
          <w:color w:val="000000"/>
        </w:rPr>
      </w:pPr>
    </w:p>
    <w:p w14:paraId="754A77AF" w14:textId="3C63307A" w:rsidR="009D3650" w:rsidRDefault="00B9403C" w:rsidP="00B9403C">
      <w:pPr>
        <w:adjustRightInd w:val="0"/>
        <w:spacing w:line="360" w:lineRule="auto"/>
        <w:ind w:left="142"/>
        <w:rPr>
          <w:color w:val="000000"/>
        </w:rPr>
      </w:pPr>
      <w:r w:rsidRPr="00EA37DB">
        <w:rPr>
          <w:color w:val="000000"/>
        </w:rPr>
        <w:t xml:space="preserve">However, the age groups 45-64 and 65+ appear to be underrepresented in relation to access to services compared to the population served (approximately 27% and 21% respectively in the population compared to 15.3% (for both age bands) accessing TEWV). Last year this was solely the 45-64 age group. </w:t>
      </w:r>
      <w:r w:rsidR="009D3650">
        <w:rPr>
          <w:color w:val="000000"/>
        </w:rPr>
        <w:t xml:space="preserve">The following table looks more closely at the age bandings and how TEWV compares to the census data. The arrow signifies if TEWV is above or below the Census population %. </w:t>
      </w:r>
    </w:p>
    <w:p w14:paraId="44479814" w14:textId="09A2165A" w:rsidR="0004184B" w:rsidRDefault="0004184B" w:rsidP="00B9403C">
      <w:pPr>
        <w:adjustRightInd w:val="0"/>
        <w:spacing w:line="360" w:lineRule="auto"/>
        <w:ind w:left="142"/>
        <w:rPr>
          <w:color w:val="000000"/>
        </w:rPr>
      </w:pPr>
    </w:p>
    <w:p w14:paraId="2A40416E" w14:textId="7E1ADE6A" w:rsidR="0004184B" w:rsidRDefault="0004184B" w:rsidP="00B9403C">
      <w:pPr>
        <w:adjustRightInd w:val="0"/>
        <w:spacing w:line="360" w:lineRule="auto"/>
        <w:ind w:left="142"/>
        <w:rPr>
          <w:color w:val="000000"/>
        </w:rPr>
      </w:pPr>
    </w:p>
    <w:p w14:paraId="67D39752" w14:textId="3B6106B9" w:rsidR="0004184B" w:rsidRDefault="0004184B" w:rsidP="00B9403C">
      <w:pPr>
        <w:adjustRightInd w:val="0"/>
        <w:spacing w:line="360" w:lineRule="auto"/>
        <w:ind w:left="142"/>
        <w:rPr>
          <w:color w:val="000000"/>
        </w:rPr>
      </w:pPr>
    </w:p>
    <w:p w14:paraId="144BAA32" w14:textId="35CD027A" w:rsidR="0004184B" w:rsidRDefault="0004184B" w:rsidP="00B9403C">
      <w:pPr>
        <w:adjustRightInd w:val="0"/>
        <w:spacing w:line="360" w:lineRule="auto"/>
        <w:ind w:left="142"/>
        <w:rPr>
          <w:color w:val="000000"/>
        </w:rPr>
      </w:pPr>
    </w:p>
    <w:p w14:paraId="14E4D2A5" w14:textId="2971D2FE" w:rsidR="0004184B" w:rsidRDefault="0004184B" w:rsidP="00B9403C">
      <w:pPr>
        <w:adjustRightInd w:val="0"/>
        <w:spacing w:line="360" w:lineRule="auto"/>
        <w:ind w:left="142"/>
        <w:rPr>
          <w:color w:val="000000"/>
        </w:rPr>
      </w:pPr>
    </w:p>
    <w:p w14:paraId="0EB825F4" w14:textId="4994C6A6" w:rsidR="0004184B" w:rsidRDefault="0004184B" w:rsidP="00B9403C">
      <w:pPr>
        <w:adjustRightInd w:val="0"/>
        <w:spacing w:line="360" w:lineRule="auto"/>
        <w:ind w:left="142"/>
        <w:rPr>
          <w:color w:val="000000"/>
        </w:rPr>
      </w:pPr>
    </w:p>
    <w:p w14:paraId="6B95B34E" w14:textId="690CB1D7" w:rsidR="0004184B" w:rsidRDefault="0004184B" w:rsidP="00B9403C">
      <w:pPr>
        <w:adjustRightInd w:val="0"/>
        <w:spacing w:line="360" w:lineRule="auto"/>
        <w:ind w:left="142"/>
        <w:rPr>
          <w:color w:val="000000"/>
        </w:rPr>
      </w:pPr>
    </w:p>
    <w:p w14:paraId="270F84B6" w14:textId="1962FA69" w:rsidR="0004184B" w:rsidRDefault="0004184B" w:rsidP="00B9403C">
      <w:pPr>
        <w:adjustRightInd w:val="0"/>
        <w:spacing w:line="360" w:lineRule="auto"/>
        <w:ind w:left="142"/>
        <w:rPr>
          <w:color w:val="000000"/>
        </w:rPr>
      </w:pPr>
    </w:p>
    <w:p w14:paraId="052D3BC8" w14:textId="77777777" w:rsidR="0004184B" w:rsidRDefault="0004184B" w:rsidP="00B9403C">
      <w:pPr>
        <w:adjustRightInd w:val="0"/>
        <w:spacing w:line="360" w:lineRule="auto"/>
        <w:ind w:left="142"/>
        <w:rPr>
          <w:color w:val="000000"/>
        </w:rPr>
      </w:pPr>
    </w:p>
    <w:p w14:paraId="004AFADE" w14:textId="2180AF15" w:rsidR="0004184B" w:rsidRPr="0004184B" w:rsidRDefault="0004184B" w:rsidP="00B9403C">
      <w:pPr>
        <w:adjustRightInd w:val="0"/>
        <w:spacing w:line="360" w:lineRule="auto"/>
        <w:ind w:left="142"/>
        <w:rPr>
          <w:i/>
          <w:iCs/>
          <w:color w:val="000000"/>
        </w:rPr>
      </w:pPr>
      <w:r w:rsidRPr="0004184B">
        <w:rPr>
          <w:i/>
          <w:iCs/>
          <w:color w:val="000000"/>
        </w:rPr>
        <w:t>Table 1: TEWV comparison to census date, broken down by age</w:t>
      </w:r>
    </w:p>
    <w:p w14:paraId="6E983593" w14:textId="686E7A6A" w:rsidR="009D3650" w:rsidRDefault="00006BAB" w:rsidP="00B9403C">
      <w:pPr>
        <w:adjustRightInd w:val="0"/>
        <w:spacing w:line="360" w:lineRule="auto"/>
        <w:ind w:left="142"/>
        <w:rPr>
          <w:color w:val="000000"/>
        </w:rPr>
      </w:pPr>
      <w:r w:rsidRPr="00006BAB">
        <w:rPr>
          <w:noProof/>
        </w:rPr>
        <w:drawing>
          <wp:inline distT="0" distB="0" distL="0" distR="0" wp14:anchorId="33311A9D" wp14:editId="6494ADF2">
            <wp:extent cx="6143625" cy="2171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308" r="4591" b="6913"/>
                    <a:stretch/>
                  </pic:blipFill>
                  <pic:spPr bwMode="auto">
                    <a:xfrm>
                      <a:off x="0" y="0"/>
                      <a:ext cx="6463566" cy="2284795"/>
                    </a:xfrm>
                    <a:prstGeom prst="rect">
                      <a:avLst/>
                    </a:prstGeom>
                    <a:noFill/>
                    <a:ln>
                      <a:noFill/>
                    </a:ln>
                    <a:extLst>
                      <a:ext uri="{53640926-AAD7-44D8-BBD7-CCE9431645EC}">
                        <a14:shadowObscured xmlns:a14="http://schemas.microsoft.com/office/drawing/2010/main"/>
                      </a:ext>
                    </a:extLst>
                  </pic:spPr>
                </pic:pic>
              </a:graphicData>
            </a:graphic>
          </wp:inline>
        </w:drawing>
      </w:r>
    </w:p>
    <w:p w14:paraId="30A0E2E7" w14:textId="77777777" w:rsidR="000E5733" w:rsidRPr="00EA37DB" w:rsidRDefault="000E5733" w:rsidP="00B9403C">
      <w:pPr>
        <w:adjustRightInd w:val="0"/>
        <w:spacing w:line="360" w:lineRule="auto"/>
        <w:ind w:left="142"/>
        <w:rPr>
          <w:color w:val="000000"/>
        </w:rPr>
      </w:pPr>
    </w:p>
    <w:p w14:paraId="4955260C" w14:textId="77777777" w:rsidR="008834AE" w:rsidRDefault="008834AE" w:rsidP="008834AE">
      <w:pPr>
        <w:pStyle w:val="BodyText"/>
        <w:spacing w:before="3"/>
      </w:pPr>
      <w:bookmarkStart w:id="3" w:name="_bookmark2"/>
      <w:bookmarkEnd w:id="3"/>
      <w:r w:rsidRPr="00795B7C">
        <w:rPr>
          <w:u w:val="single"/>
        </w:rPr>
        <w:t>Waiting Times:</w:t>
      </w:r>
    </w:p>
    <w:p w14:paraId="62A17A57" w14:textId="77777777" w:rsidR="008834AE" w:rsidRDefault="008834AE" w:rsidP="008834AE">
      <w:pPr>
        <w:pStyle w:val="BodyText"/>
        <w:spacing w:before="18" w:line="355" w:lineRule="auto"/>
        <w:ind w:right="113"/>
      </w:pPr>
      <w:r>
        <w:rPr>
          <w:color w:val="5A5A5A"/>
        </w:rPr>
        <w:t xml:space="preserve">Data: </w:t>
      </w:r>
      <w:r>
        <w:t xml:space="preserve">The data contained all patients who had their first direct contact following referral (accepted modes of face to face, </w:t>
      </w:r>
      <w:proofErr w:type="gramStart"/>
      <w:r>
        <w:t>telephone</w:t>
      </w:r>
      <w:proofErr w:type="gramEnd"/>
      <w:r>
        <w:t xml:space="preserve"> or video conferencing) between 1</w:t>
      </w:r>
      <w:proofErr w:type="spellStart"/>
      <w:r>
        <w:rPr>
          <w:position w:val="8"/>
          <w:sz w:val="14"/>
        </w:rPr>
        <w:t>st</w:t>
      </w:r>
      <w:proofErr w:type="spellEnd"/>
      <w:r>
        <w:rPr>
          <w:position w:val="8"/>
          <w:sz w:val="14"/>
        </w:rPr>
        <w:t xml:space="preserve"> </w:t>
      </w:r>
      <w:r>
        <w:t>January 2022 and 31</w:t>
      </w:r>
      <w:proofErr w:type="spellStart"/>
      <w:r>
        <w:rPr>
          <w:position w:val="8"/>
          <w:sz w:val="14"/>
        </w:rPr>
        <w:t>st</w:t>
      </w:r>
      <w:proofErr w:type="spellEnd"/>
      <w:r>
        <w:rPr>
          <w:position w:val="8"/>
          <w:sz w:val="14"/>
        </w:rPr>
        <w:t xml:space="preserve"> </w:t>
      </w:r>
      <w:r>
        <w:t>December 2022. For the purposes of analysis, waiting times are measured in days.</w:t>
      </w:r>
    </w:p>
    <w:p w14:paraId="67DF4F98" w14:textId="77777777" w:rsidR="008834AE" w:rsidRDefault="008834AE" w:rsidP="008834AE">
      <w:pPr>
        <w:pStyle w:val="BodyText"/>
        <w:spacing w:before="165" w:line="360" w:lineRule="auto"/>
        <w:ind w:right="115"/>
      </w:pPr>
      <w:r>
        <w:rPr>
          <w:color w:val="5A5A5A"/>
        </w:rPr>
        <w:t xml:space="preserve">Analysis: </w:t>
      </w:r>
      <w:r>
        <w:t>Descriptive statistics were utilised in conjunction with analysis of variance. Analysis of variance was utilised to explore whether any significant differences exist in waiting times both between and within protected groups, accounting for differences in sample size.</w:t>
      </w:r>
    </w:p>
    <w:p w14:paraId="7CFD5AF3" w14:textId="77777777" w:rsidR="008834AE" w:rsidRDefault="008834AE" w:rsidP="008834AE">
      <w:pPr>
        <w:pStyle w:val="BodyText"/>
        <w:spacing w:before="160"/>
      </w:pPr>
      <w:r>
        <w:rPr>
          <w:color w:val="5A5A5A"/>
        </w:rPr>
        <w:t>Results:</w:t>
      </w:r>
    </w:p>
    <w:p w14:paraId="1E97093A" w14:textId="77777777" w:rsidR="008834AE" w:rsidRPr="004358DE" w:rsidRDefault="008834AE" w:rsidP="008834AE">
      <w:pPr>
        <w:pStyle w:val="Default"/>
        <w:spacing w:line="360" w:lineRule="auto"/>
        <w:ind w:left="142"/>
        <w:rPr>
          <w:sz w:val="22"/>
          <w:szCs w:val="22"/>
        </w:rPr>
      </w:pPr>
      <w:r w:rsidRPr="004358DE">
        <w:rPr>
          <w:sz w:val="22"/>
          <w:szCs w:val="22"/>
        </w:rPr>
        <w:t>Missing values for ethnicity or decline to disclose/not stated accounted for 17.20% of the data (13694 records).</w:t>
      </w:r>
    </w:p>
    <w:p w14:paraId="2349ADBE" w14:textId="77777777" w:rsidR="008834AE" w:rsidRDefault="008834AE" w:rsidP="008834AE">
      <w:pPr>
        <w:pStyle w:val="BodyText"/>
        <w:spacing w:before="153"/>
      </w:pPr>
      <w:r>
        <w:t>At a Trust level, across all groups, the average waiting time is 24 days (95% confidence limit</w:t>
      </w:r>
    </w:p>
    <w:p w14:paraId="5C9B2A4A" w14:textId="77777777" w:rsidR="008834AE" w:rsidRDefault="008834AE" w:rsidP="008834AE">
      <w:pPr>
        <w:pStyle w:val="BodyText"/>
        <w:spacing w:before="129" w:line="360" w:lineRule="auto"/>
        <w:ind w:right="113"/>
      </w:pPr>
      <w:r>
        <w:t>23.11 to 24.01 days) with an interquartile range (IQR - middle 50%) of 24 days. However,</w:t>
      </w:r>
      <w:r>
        <w:rPr>
          <w:spacing w:val="-36"/>
        </w:rPr>
        <w:t xml:space="preserve"> </w:t>
      </w:r>
      <w:r>
        <w:t>the standard</w:t>
      </w:r>
      <w:r>
        <w:rPr>
          <w:spacing w:val="-5"/>
        </w:rPr>
        <w:t xml:space="preserve"> </w:t>
      </w:r>
      <w:r>
        <w:t>deviation</w:t>
      </w:r>
      <w:r>
        <w:rPr>
          <w:spacing w:val="-6"/>
        </w:rPr>
        <w:t xml:space="preserve"> </w:t>
      </w:r>
      <w:r>
        <w:t>is</w:t>
      </w:r>
      <w:r>
        <w:rPr>
          <w:spacing w:val="-5"/>
        </w:rPr>
        <w:t xml:space="preserve"> </w:t>
      </w:r>
      <w:r>
        <w:t>large</w:t>
      </w:r>
      <w:r>
        <w:rPr>
          <w:spacing w:val="-3"/>
        </w:rPr>
        <w:t xml:space="preserve"> </w:t>
      </w:r>
      <w:r>
        <w:t>(65</w:t>
      </w:r>
      <w:r>
        <w:rPr>
          <w:spacing w:val="-6"/>
        </w:rPr>
        <w:t xml:space="preserve"> </w:t>
      </w:r>
      <w:r>
        <w:t>days),</w:t>
      </w:r>
      <w:r>
        <w:rPr>
          <w:spacing w:val="-2"/>
        </w:rPr>
        <w:t xml:space="preserve"> </w:t>
      </w:r>
      <w:r>
        <w:t>and</w:t>
      </w:r>
      <w:r>
        <w:rPr>
          <w:spacing w:val="-6"/>
        </w:rPr>
        <w:t xml:space="preserve"> </w:t>
      </w:r>
      <w:r>
        <w:t>some</w:t>
      </w:r>
      <w:r>
        <w:rPr>
          <w:spacing w:val="-5"/>
        </w:rPr>
        <w:t xml:space="preserve"> </w:t>
      </w:r>
      <w:r>
        <w:t>extreme</w:t>
      </w:r>
      <w:r>
        <w:rPr>
          <w:spacing w:val="-5"/>
        </w:rPr>
        <w:t xml:space="preserve"> </w:t>
      </w:r>
      <w:r>
        <w:t>values</w:t>
      </w:r>
      <w:r>
        <w:rPr>
          <w:spacing w:val="-5"/>
        </w:rPr>
        <w:t xml:space="preserve"> </w:t>
      </w:r>
      <w:r>
        <w:t>present</w:t>
      </w:r>
      <w:r>
        <w:rPr>
          <w:spacing w:val="-4"/>
        </w:rPr>
        <w:t xml:space="preserve"> </w:t>
      </w:r>
      <w:r>
        <w:t>in</w:t>
      </w:r>
      <w:r>
        <w:rPr>
          <w:spacing w:val="-5"/>
        </w:rPr>
        <w:t xml:space="preserve"> </w:t>
      </w:r>
      <w:r>
        <w:t>the</w:t>
      </w:r>
      <w:r>
        <w:rPr>
          <w:spacing w:val="-3"/>
        </w:rPr>
        <w:t xml:space="preserve"> </w:t>
      </w:r>
      <w:r>
        <w:t>data</w:t>
      </w:r>
      <w:r>
        <w:rPr>
          <w:spacing w:val="-5"/>
        </w:rPr>
        <w:t xml:space="preserve"> </w:t>
      </w:r>
      <w:r>
        <w:t>indicate</w:t>
      </w:r>
      <w:r>
        <w:rPr>
          <w:spacing w:val="-5"/>
        </w:rPr>
        <w:t xml:space="preserve"> </w:t>
      </w:r>
      <w:r>
        <w:t>a wide</w:t>
      </w:r>
      <w:r>
        <w:rPr>
          <w:spacing w:val="-1"/>
        </w:rPr>
        <w:t xml:space="preserve"> </w:t>
      </w:r>
      <w:r>
        <w:t>variation. The average waiting time is higher than last year which was 17 days.</w:t>
      </w:r>
    </w:p>
    <w:p w14:paraId="47B231AC" w14:textId="77777777" w:rsidR="008834AE" w:rsidRDefault="008834AE" w:rsidP="008834AE">
      <w:pPr>
        <w:pStyle w:val="BodyText"/>
        <w:spacing w:before="160"/>
        <w:rPr>
          <w:color w:val="5A5A5A"/>
        </w:rPr>
      </w:pPr>
      <w:r>
        <w:rPr>
          <w:color w:val="5A5A5A"/>
        </w:rPr>
        <w:t>Ethnicity:</w:t>
      </w:r>
    </w:p>
    <w:p w14:paraId="1A2876B1" w14:textId="77777777" w:rsidR="008834AE" w:rsidRDefault="008834AE" w:rsidP="008834AE">
      <w:pPr>
        <w:pStyle w:val="BodyText"/>
        <w:spacing w:before="160"/>
      </w:pPr>
    </w:p>
    <w:p w14:paraId="1D5E2AA9" w14:textId="77777777" w:rsidR="008834AE" w:rsidRPr="004358DE" w:rsidRDefault="008834AE" w:rsidP="008834AE">
      <w:pPr>
        <w:pStyle w:val="Default"/>
        <w:spacing w:line="360" w:lineRule="auto"/>
        <w:ind w:left="142"/>
        <w:rPr>
          <w:sz w:val="22"/>
          <w:szCs w:val="22"/>
        </w:rPr>
      </w:pPr>
      <w:r w:rsidRPr="009A1E3C">
        <w:rPr>
          <w:i/>
          <w:color w:val="404040"/>
          <w:sz w:val="22"/>
          <w:szCs w:val="22"/>
        </w:rPr>
        <w:t xml:space="preserve">Modes of contact: </w:t>
      </w:r>
      <w:r w:rsidRPr="004358DE">
        <w:rPr>
          <w:sz w:val="22"/>
          <w:szCs w:val="22"/>
        </w:rPr>
        <w:t xml:space="preserve">No Significant differences between modes of contact used were found between groups. </w:t>
      </w:r>
      <w:proofErr w:type="gramStart"/>
      <w:r w:rsidRPr="004358DE">
        <w:rPr>
          <w:sz w:val="22"/>
          <w:szCs w:val="22"/>
        </w:rPr>
        <w:t>The majority of</w:t>
      </w:r>
      <w:proofErr w:type="gramEnd"/>
      <w:r w:rsidRPr="004358DE">
        <w:rPr>
          <w:sz w:val="22"/>
          <w:szCs w:val="22"/>
        </w:rPr>
        <w:t xml:space="preserve"> contacts were conducted either face to face (56%) or via telephone (41%) with only 4% use of video conferencing overall.  These figures are consistent with last years reported mode of contact figures.</w:t>
      </w:r>
    </w:p>
    <w:p w14:paraId="40975E60" w14:textId="77777777" w:rsidR="008834AE" w:rsidRDefault="008834AE" w:rsidP="008834AE">
      <w:pPr>
        <w:pStyle w:val="BodyText"/>
        <w:spacing w:before="179" w:line="360" w:lineRule="auto"/>
        <w:ind w:right="114"/>
      </w:pPr>
      <w:r>
        <w:rPr>
          <w:i/>
          <w:color w:val="404040"/>
        </w:rPr>
        <w:t>Waiting</w:t>
      </w:r>
      <w:r>
        <w:rPr>
          <w:i/>
          <w:color w:val="404040"/>
          <w:spacing w:val="-4"/>
        </w:rPr>
        <w:t xml:space="preserve"> </w:t>
      </w:r>
      <w:r>
        <w:rPr>
          <w:i/>
          <w:color w:val="404040"/>
        </w:rPr>
        <w:t>Times</w:t>
      </w:r>
    </w:p>
    <w:p w14:paraId="0A0C5F92" w14:textId="77777777" w:rsidR="008834AE" w:rsidRDefault="008834AE" w:rsidP="008834AE">
      <w:pPr>
        <w:pStyle w:val="BodyText"/>
        <w:spacing w:before="160" w:line="360" w:lineRule="auto"/>
        <w:ind w:right="115"/>
      </w:pPr>
      <w:r>
        <w:t>Significant</w:t>
      </w:r>
      <w:r>
        <w:rPr>
          <w:spacing w:val="-9"/>
        </w:rPr>
        <w:t xml:space="preserve"> </w:t>
      </w:r>
      <w:r>
        <w:t>differences</w:t>
      </w:r>
      <w:r>
        <w:rPr>
          <w:spacing w:val="-10"/>
        </w:rPr>
        <w:t xml:space="preserve"> </w:t>
      </w:r>
      <w:r>
        <w:t>at</w:t>
      </w:r>
      <w:r>
        <w:rPr>
          <w:spacing w:val="-14"/>
        </w:rPr>
        <w:t xml:space="preserve"> </w:t>
      </w:r>
      <w:r>
        <w:t>the</w:t>
      </w:r>
      <w:r>
        <w:rPr>
          <w:spacing w:val="-11"/>
        </w:rPr>
        <w:t xml:space="preserve"> </w:t>
      </w:r>
      <w:r>
        <w:t>0.05</w:t>
      </w:r>
      <w:r>
        <w:rPr>
          <w:spacing w:val="-10"/>
        </w:rPr>
        <w:t xml:space="preserve"> </w:t>
      </w:r>
      <w:r>
        <w:t>alpha</w:t>
      </w:r>
      <w:r>
        <w:rPr>
          <w:spacing w:val="-10"/>
        </w:rPr>
        <w:t xml:space="preserve"> </w:t>
      </w:r>
      <w:r>
        <w:t>level</w:t>
      </w:r>
      <w:r>
        <w:rPr>
          <w:spacing w:val="-9"/>
        </w:rPr>
        <w:t xml:space="preserve"> </w:t>
      </w:r>
      <w:r>
        <w:t>were</w:t>
      </w:r>
      <w:r>
        <w:rPr>
          <w:spacing w:val="-12"/>
        </w:rPr>
        <w:t xml:space="preserve"> </w:t>
      </w:r>
      <w:r>
        <w:t>found</w:t>
      </w:r>
      <w:r>
        <w:rPr>
          <w:spacing w:val="-11"/>
        </w:rPr>
        <w:t xml:space="preserve"> </w:t>
      </w:r>
      <w:r>
        <w:t>between</w:t>
      </w:r>
      <w:r>
        <w:rPr>
          <w:spacing w:val="-10"/>
        </w:rPr>
        <w:t xml:space="preserve"> </w:t>
      </w:r>
      <w:r>
        <w:t>groups</w:t>
      </w:r>
      <w:r>
        <w:rPr>
          <w:spacing w:val="-10"/>
        </w:rPr>
        <w:t xml:space="preserve"> </w:t>
      </w:r>
      <w:r>
        <w:t>in</w:t>
      </w:r>
      <w:r>
        <w:rPr>
          <w:spacing w:val="-12"/>
        </w:rPr>
        <w:t xml:space="preserve"> </w:t>
      </w:r>
      <w:r>
        <w:t>relation</w:t>
      </w:r>
      <w:r>
        <w:rPr>
          <w:spacing w:val="-10"/>
        </w:rPr>
        <w:t xml:space="preserve"> </w:t>
      </w:r>
      <w:r>
        <w:t>to</w:t>
      </w:r>
      <w:r>
        <w:rPr>
          <w:spacing w:val="-10"/>
        </w:rPr>
        <w:t xml:space="preserve"> </w:t>
      </w:r>
      <w:r>
        <w:t>waiting times. Post Hoc analysis indicated that differences were found between the following ethnic groups:</w:t>
      </w:r>
    </w:p>
    <w:p w14:paraId="17BB1D96" w14:textId="77777777" w:rsidR="008834AE" w:rsidRDefault="008834AE" w:rsidP="008834AE">
      <w:pPr>
        <w:pStyle w:val="BodyText"/>
        <w:spacing w:before="161" w:line="360" w:lineRule="auto"/>
        <w:ind w:right="111"/>
      </w:pPr>
      <w:r>
        <w:t>The</w:t>
      </w:r>
      <w:r>
        <w:rPr>
          <w:spacing w:val="-4"/>
        </w:rPr>
        <w:t xml:space="preserve"> </w:t>
      </w:r>
      <w:r>
        <w:t>Iranian group</w:t>
      </w:r>
      <w:r>
        <w:rPr>
          <w:spacing w:val="-9"/>
        </w:rPr>
        <w:t xml:space="preserve"> </w:t>
      </w:r>
      <w:r>
        <w:t>(N=6)</w:t>
      </w:r>
      <w:r>
        <w:rPr>
          <w:spacing w:val="-4"/>
        </w:rPr>
        <w:t xml:space="preserve"> though had a very small sample, </w:t>
      </w:r>
      <w:r>
        <w:t>had</w:t>
      </w:r>
      <w:r>
        <w:rPr>
          <w:spacing w:val="-6"/>
        </w:rPr>
        <w:t xml:space="preserve"> </w:t>
      </w:r>
      <w:r>
        <w:t>a</w:t>
      </w:r>
      <w:r>
        <w:rPr>
          <w:spacing w:val="-5"/>
        </w:rPr>
        <w:t xml:space="preserve"> </w:t>
      </w:r>
      <w:r>
        <w:t>statistically</w:t>
      </w:r>
      <w:r>
        <w:rPr>
          <w:spacing w:val="-4"/>
        </w:rPr>
        <w:t xml:space="preserve"> </w:t>
      </w:r>
      <w:r>
        <w:t>significantly</w:t>
      </w:r>
      <w:r>
        <w:rPr>
          <w:spacing w:val="-5"/>
        </w:rPr>
        <w:t xml:space="preserve"> </w:t>
      </w:r>
      <w:r>
        <w:t>shorter</w:t>
      </w:r>
      <w:r>
        <w:rPr>
          <w:spacing w:val="-5"/>
        </w:rPr>
        <w:t xml:space="preserve"> </w:t>
      </w:r>
      <w:r>
        <w:t>wait</w:t>
      </w:r>
      <w:r>
        <w:rPr>
          <w:spacing w:val="-4"/>
        </w:rPr>
        <w:t xml:space="preserve"> </w:t>
      </w:r>
      <w:r>
        <w:t>time</w:t>
      </w:r>
      <w:r>
        <w:rPr>
          <w:spacing w:val="-6"/>
        </w:rPr>
        <w:t xml:space="preserve"> </w:t>
      </w:r>
      <w:r>
        <w:t>than</w:t>
      </w:r>
      <w:r>
        <w:rPr>
          <w:spacing w:val="-3"/>
        </w:rPr>
        <w:t xml:space="preserve"> </w:t>
      </w:r>
      <w:proofErr w:type="gramStart"/>
      <w:r>
        <w:t>a</w:t>
      </w:r>
      <w:r>
        <w:rPr>
          <w:spacing w:val="-6"/>
        </w:rPr>
        <w:t xml:space="preserve"> </w:t>
      </w:r>
      <w:r>
        <w:t>number of</w:t>
      </w:r>
      <w:proofErr w:type="gramEnd"/>
      <w:r>
        <w:t xml:space="preserve"> other ethnic groups. The average wait time for Iranian was &lt;1 day (5% trimmed mean (removal of the most extreme values) = 0.31 days), with an interquartile range (IQR) of</w:t>
      </w:r>
      <w:r>
        <w:rPr>
          <w:spacing w:val="-8"/>
        </w:rPr>
        <w:t xml:space="preserve"> </w:t>
      </w:r>
      <w:r>
        <w:t>1</w:t>
      </w:r>
      <w:r>
        <w:rPr>
          <w:spacing w:val="-11"/>
        </w:rPr>
        <w:t xml:space="preserve"> </w:t>
      </w:r>
      <w:r>
        <w:t>day</w:t>
      </w:r>
      <w:r>
        <w:rPr>
          <w:spacing w:val="-10"/>
        </w:rPr>
        <w:t xml:space="preserve"> </w:t>
      </w:r>
      <w:r>
        <w:t>(the</w:t>
      </w:r>
      <w:r>
        <w:rPr>
          <w:spacing w:val="-12"/>
        </w:rPr>
        <w:t xml:space="preserve"> </w:t>
      </w:r>
      <w:r>
        <w:t>middle</w:t>
      </w:r>
      <w:r>
        <w:rPr>
          <w:spacing w:val="-8"/>
        </w:rPr>
        <w:t xml:space="preserve"> </w:t>
      </w:r>
      <w:r>
        <w:t>50%</w:t>
      </w:r>
      <w:r>
        <w:rPr>
          <w:spacing w:val="-8"/>
        </w:rPr>
        <w:t xml:space="preserve"> </w:t>
      </w:r>
      <w:r>
        <w:t>of</w:t>
      </w:r>
      <w:r>
        <w:rPr>
          <w:spacing w:val="-7"/>
        </w:rPr>
        <w:t xml:space="preserve"> </w:t>
      </w:r>
      <w:r>
        <w:t>data</w:t>
      </w:r>
      <w:r>
        <w:rPr>
          <w:spacing w:val="-8"/>
        </w:rPr>
        <w:t xml:space="preserve"> </w:t>
      </w:r>
      <w:r>
        <w:t>were</w:t>
      </w:r>
      <w:r>
        <w:rPr>
          <w:spacing w:val="-10"/>
        </w:rPr>
        <w:t xml:space="preserve"> </w:t>
      </w:r>
      <w:r>
        <w:t>all</w:t>
      </w:r>
      <w:r>
        <w:rPr>
          <w:spacing w:val="-9"/>
        </w:rPr>
        <w:t xml:space="preserve"> </w:t>
      </w:r>
      <w:r>
        <w:t>seen</w:t>
      </w:r>
      <w:r>
        <w:rPr>
          <w:spacing w:val="-10"/>
        </w:rPr>
        <w:t xml:space="preserve"> </w:t>
      </w:r>
      <w:r>
        <w:t>within</w:t>
      </w:r>
      <w:r>
        <w:rPr>
          <w:spacing w:val="-8"/>
        </w:rPr>
        <w:t xml:space="preserve"> </w:t>
      </w:r>
      <w:r>
        <w:t>30</w:t>
      </w:r>
      <w:r>
        <w:rPr>
          <w:spacing w:val="-8"/>
        </w:rPr>
        <w:t xml:space="preserve"> </w:t>
      </w:r>
      <w:r>
        <w:t>days).</w:t>
      </w:r>
      <w:r>
        <w:rPr>
          <w:spacing w:val="-7"/>
        </w:rPr>
        <w:t xml:space="preserve"> </w:t>
      </w:r>
      <w:r>
        <w:t>This</w:t>
      </w:r>
      <w:r>
        <w:rPr>
          <w:spacing w:val="-7"/>
        </w:rPr>
        <w:t xml:space="preserve"> </w:t>
      </w:r>
      <w:r>
        <w:t>was</w:t>
      </w:r>
      <w:r>
        <w:rPr>
          <w:spacing w:val="-10"/>
        </w:rPr>
        <w:t xml:space="preserve"> </w:t>
      </w:r>
      <w:r>
        <w:t>significantly</w:t>
      </w:r>
      <w:r>
        <w:rPr>
          <w:spacing w:val="-6"/>
        </w:rPr>
        <w:t xml:space="preserve"> </w:t>
      </w:r>
      <w:r>
        <w:t>lower than almost all other groups.</w:t>
      </w:r>
    </w:p>
    <w:p w14:paraId="1BD9F8A9" w14:textId="77777777" w:rsidR="008834AE" w:rsidRDefault="008834AE" w:rsidP="008834AE">
      <w:pPr>
        <w:pStyle w:val="BodyText"/>
        <w:spacing w:before="160" w:line="360" w:lineRule="auto"/>
        <w:ind w:right="117"/>
      </w:pPr>
      <w:r>
        <w:t>Other statistically significant differences were found between Irish Traveller waiting times and other</w:t>
      </w:r>
      <w:r>
        <w:rPr>
          <w:spacing w:val="-12"/>
        </w:rPr>
        <w:t xml:space="preserve"> </w:t>
      </w:r>
      <w:r>
        <w:t>ethnic</w:t>
      </w:r>
      <w:r>
        <w:rPr>
          <w:spacing w:val="-13"/>
        </w:rPr>
        <w:t xml:space="preserve"> </w:t>
      </w:r>
      <w:r>
        <w:t>groups.</w:t>
      </w:r>
      <w:r>
        <w:rPr>
          <w:spacing w:val="-11"/>
        </w:rPr>
        <w:t xml:space="preserve"> The Irish Traveller group, although represented small numbers, indicated significantly higher wait times than other ethnic groups </w:t>
      </w:r>
      <w:r>
        <w:t>(Mean = 30.74 days, IQR = 64 days).</w:t>
      </w:r>
    </w:p>
    <w:p w14:paraId="1425319B" w14:textId="77777777" w:rsidR="008834AE" w:rsidRDefault="008834AE" w:rsidP="008834AE">
      <w:pPr>
        <w:pStyle w:val="BodyText"/>
        <w:spacing w:before="162"/>
      </w:pPr>
      <w:r>
        <w:t>No other statistically significant differences were detected.</w:t>
      </w:r>
    </w:p>
    <w:p w14:paraId="71ECCDDA" w14:textId="77777777" w:rsidR="008834AE" w:rsidRDefault="008834AE" w:rsidP="008834AE">
      <w:pPr>
        <w:pStyle w:val="BodyText"/>
        <w:spacing w:before="8"/>
        <w:ind w:left="0"/>
        <w:jc w:val="left"/>
        <w:rPr>
          <w:sz w:val="24"/>
        </w:rPr>
      </w:pPr>
    </w:p>
    <w:p w14:paraId="24A211C8" w14:textId="77777777" w:rsidR="008834AE" w:rsidRDefault="008834AE" w:rsidP="008834AE">
      <w:pPr>
        <w:pStyle w:val="BodyText"/>
      </w:pPr>
      <w:r>
        <w:rPr>
          <w:color w:val="5A5A5A"/>
        </w:rPr>
        <w:t>Marital Status:</w:t>
      </w:r>
    </w:p>
    <w:p w14:paraId="7890DEF9" w14:textId="77777777" w:rsidR="008834AE" w:rsidRDefault="008834AE" w:rsidP="008834AE">
      <w:pPr>
        <w:pStyle w:val="BodyText"/>
        <w:spacing w:before="182"/>
      </w:pPr>
      <w:r>
        <w:t>A significant number of records did not have marital status recorded (16890), this is higher than the previous year.</w:t>
      </w:r>
    </w:p>
    <w:p w14:paraId="68C6F4EF" w14:textId="77777777" w:rsidR="008834AE" w:rsidRDefault="008834AE" w:rsidP="008834AE">
      <w:pPr>
        <w:pStyle w:val="BodyText"/>
        <w:ind w:left="0"/>
        <w:jc w:val="left"/>
        <w:rPr>
          <w:sz w:val="25"/>
        </w:rPr>
      </w:pPr>
    </w:p>
    <w:p w14:paraId="33AF660B" w14:textId="77777777" w:rsidR="008834AE" w:rsidRDefault="008834AE" w:rsidP="008834AE">
      <w:pPr>
        <w:ind w:left="120"/>
        <w:jc w:val="both"/>
        <w:rPr>
          <w:i/>
        </w:rPr>
      </w:pPr>
      <w:r>
        <w:rPr>
          <w:i/>
          <w:color w:val="404040"/>
        </w:rPr>
        <w:t>Modes of Contact:</w:t>
      </w:r>
    </w:p>
    <w:p w14:paraId="6AEA7914" w14:textId="77777777" w:rsidR="008834AE" w:rsidRDefault="008834AE" w:rsidP="008834AE">
      <w:pPr>
        <w:pStyle w:val="BodyText"/>
        <w:spacing w:before="8"/>
        <w:ind w:left="0"/>
        <w:jc w:val="left"/>
        <w:rPr>
          <w:i/>
          <w:sz w:val="24"/>
        </w:rPr>
      </w:pPr>
    </w:p>
    <w:p w14:paraId="4033E03D" w14:textId="77777777" w:rsidR="008834AE" w:rsidRPr="004358DE" w:rsidRDefault="008834AE" w:rsidP="008834AE">
      <w:pPr>
        <w:pStyle w:val="Default"/>
        <w:spacing w:line="360" w:lineRule="auto"/>
        <w:ind w:left="142"/>
        <w:rPr>
          <w:color w:val="auto"/>
          <w:sz w:val="22"/>
          <w:szCs w:val="22"/>
        </w:rPr>
      </w:pPr>
      <w:r w:rsidRPr="004358DE">
        <w:rPr>
          <w:color w:val="auto"/>
          <w:sz w:val="22"/>
          <w:szCs w:val="22"/>
        </w:rPr>
        <w:t xml:space="preserve">There were no significant findings in relation to modes of contact </w:t>
      </w:r>
      <w:proofErr w:type="gramStart"/>
      <w:r w:rsidRPr="004358DE">
        <w:rPr>
          <w:color w:val="auto"/>
          <w:sz w:val="22"/>
          <w:szCs w:val="22"/>
        </w:rPr>
        <w:t>with the exception of</w:t>
      </w:r>
      <w:proofErr w:type="gramEnd"/>
      <w:r w:rsidRPr="004358DE">
        <w:rPr>
          <w:color w:val="auto"/>
          <w:sz w:val="22"/>
          <w:szCs w:val="22"/>
        </w:rPr>
        <w:t xml:space="preserve"> those recorded as single. This cohort had significantly fewer face to face contacts (32% of contacts compared to a 45% average) and significantly more telephone contacts (63% compared to a 51% average). </w:t>
      </w:r>
    </w:p>
    <w:p w14:paraId="212E5443" w14:textId="77777777" w:rsidR="008834AE" w:rsidRDefault="008834AE" w:rsidP="008834AE">
      <w:pPr>
        <w:spacing w:before="162"/>
        <w:ind w:left="120"/>
        <w:jc w:val="both"/>
        <w:rPr>
          <w:i/>
        </w:rPr>
      </w:pPr>
      <w:r>
        <w:rPr>
          <w:i/>
          <w:color w:val="404040"/>
        </w:rPr>
        <w:t>Waiting</w:t>
      </w:r>
      <w:r>
        <w:rPr>
          <w:i/>
          <w:color w:val="404040"/>
          <w:spacing w:val="-5"/>
        </w:rPr>
        <w:t xml:space="preserve"> </w:t>
      </w:r>
      <w:r>
        <w:rPr>
          <w:i/>
          <w:color w:val="404040"/>
        </w:rPr>
        <w:t>Times:</w:t>
      </w:r>
    </w:p>
    <w:p w14:paraId="0963487D" w14:textId="77777777" w:rsidR="008834AE" w:rsidRDefault="008834AE" w:rsidP="008834AE">
      <w:pPr>
        <w:pStyle w:val="BodyText"/>
        <w:spacing w:before="8"/>
        <w:ind w:left="0"/>
        <w:jc w:val="left"/>
        <w:rPr>
          <w:i/>
          <w:sz w:val="24"/>
        </w:rPr>
      </w:pPr>
    </w:p>
    <w:p w14:paraId="40E09516" w14:textId="77777777" w:rsidR="008834AE" w:rsidRDefault="008834AE" w:rsidP="008834AE">
      <w:pPr>
        <w:pStyle w:val="BodyText"/>
        <w:spacing w:line="362" w:lineRule="auto"/>
        <w:ind w:right="117"/>
      </w:pPr>
      <w:r>
        <w:t>Analysis</w:t>
      </w:r>
      <w:r>
        <w:rPr>
          <w:spacing w:val="-7"/>
        </w:rPr>
        <w:t xml:space="preserve"> </w:t>
      </w:r>
      <w:r>
        <w:t>of</w:t>
      </w:r>
      <w:r>
        <w:rPr>
          <w:spacing w:val="-8"/>
        </w:rPr>
        <w:t xml:space="preserve"> </w:t>
      </w:r>
      <w:r>
        <w:t>variance</w:t>
      </w:r>
      <w:r>
        <w:rPr>
          <w:spacing w:val="-9"/>
        </w:rPr>
        <w:t xml:space="preserve"> </w:t>
      </w:r>
      <w:r>
        <w:t>indicated</w:t>
      </w:r>
      <w:r>
        <w:rPr>
          <w:spacing w:val="-9"/>
        </w:rPr>
        <w:t xml:space="preserve"> </w:t>
      </w:r>
      <w:r>
        <w:t>statistically</w:t>
      </w:r>
      <w:r>
        <w:rPr>
          <w:spacing w:val="-6"/>
        </w:rPr>
        <w:t xml:space="preserve"> </w:t>
      </w:r>
      <w:r>
        <w:t>significant</w:t>
      </w:r>
      <w:r>
        <w:rPr>
          <w:spacing w:val="-5"/>
        </w:rPr>
        <w:t xml:space="preserve"> </w:t>
      </w:r>
      <w:r>
        <w:t>differences</w:t>
      </w:r>
      <w:r>
        <w:rPr>
          <w:spacing w:val="-10"/>
        </w:rPr>
        <w:t xml:space="preserve"> </w:t>
      </w:r>
      <w:r>
        <w:t>between</w:t>
      </w:r>
      <w:r>
        <w:rPr>
          <w:spacing w:val="-9"/>
        </w:rPr>
        <w:t xml:space="preserve"> </w:t>
      </w:r>
      <w:r>
        <w:t>groups</w:t>
      </w:r>
      <w:r>
        <w:rPr>
          <w:spacing w:val="-6"/>
        </w:rPr>
        <w:t xml:space="preserve"> </w:t>
      </w:r>
      <w:r>
        <w:t>in</w:t>
      </w:r>
      <w:r>
        <w:rPr>
          <w:spacing w:val="-10"/>
        </w:rPr>
        <w:t xml:space="preserve"> </w:t>
      </w:r>
      <w:r>
        <w:t>relation</w:t>
      </w:r>
      <w:r>
        <w:rPr>
          <w:spacing w:val="-9"/>
        </w:rPr>
        <w:t xml:space="preserve"> </w:t>
      </w:r>
      <w:r>
        <w:t>to waiting times to first</w:t>
      </w:r>
      <w:r>
        <w:rPr>
          <w:spacing w:val="-6"/>
        </w:rPr>
        <w:t xml:space="preserve"> </w:t>
      </w:r>
      <w:r>
        <w:t>contact.</w:t>
      </w:r>
    </w:p>
    <w:p w14:paraId="431A7B3E" w14:textId="57FA0E6E" w:rsidR="0004184B" w:rsidRDefault="008834AE" w:rsidP="008834AE">
      <w:pPr>
        <w:pStyle w:val="BodyText"/>
        <w:spacing w:before="156" w:line="360" w:lineRule="auto"/>
        <w:ind w:right="115"/>
        <w:jc w:val="left"/>
      </w:pPr>
      <w:proofErr w:type="gramStart"/>
      <w:r>
        <w:t>Similarly</w:t>
      </w:r>
      <w:proofErr w:type="gramEnd"/>
      <w:r>
        <w:t xml:space="preserve"> to last year, patients with a marital status of Surviving Partner/Widowed waited a statistically significantly longer period of time than all other groups (N= 3897, mean = 38.53, IQR = 43 days). Examining</w:t>
      </w:r>
      <w:r>
        <w:rPr>
          <w:spacing w:val="-9"/>
        </w:rPr>
        <w:t xml:space="preserve"> </w:t>
      </w:r>
      <w:r>
        <w:t>the</w:t>
      </w:r>
      <w:r>
        <w:rPr>
          <w:spacing w:val="-9"/>
        </w:rPr>
        <w:t xml:space="preserve"> </w:t>
      </w:r>
      <w:r>
        <w:t>percentiles</w:t>
      </w:r>
      <w:r>
        <w:rPr>
          <w:spacing w:val="-9"/>
        </w:rPr>
        <w:t xml:space="preserve"> </w:t>
      </w:r>
      <w:r>
        <w:t>across</w:t>
      </w:r>
      <w:r>
        <w:rPr>
          <w:spacing w:val="-11"/>
        </w:rPr>
        <w:t xml:space="preserve"> </w:t>
      </w:r>
      <w:r>
        <w:t>the</w:t>
      </w:r>
      <w:r>
        <w:rPr>
          <w:spacing w:val="-8"/>
        </w:rPr>
        <w:t xml:space="preserve"> </w:t>
      </w:r>
      <w:r>
        <w:t>groups</w:t>
      </w:r>
      <w:r>
        <w:rPr>
          <w:spacing w:val="-9"/>
        </w:rPr>
        <w:t xml:space="preserve"> </w:t>
      </w:r>
      <w:r>
        <w:t>indicates</w:t>
      </w:r>
      <w:r>
        <w:rPr>
          <w:spacing w:val="-8"/>
        </w:rPr>
        <w:t xml:space="preserve"> </w:t>
      </w:r>
      <w:r>
        <w:t>that</w:t>
      </w:r>
      <w:r>
        <w:rPr>
          <w:spacing w:val="-10"/>
        </w:rPr>
        <w:t xml:space="preserve"> </w:t>
      </w:r>
      <w:r>
        <w:t>for</w:t>
      </w:r>
      <w:r>
        <w:rPr>
          <w:spacing w:val="-8"/>
        </w:rPr>
        <w:t xml:space="preserve"> </w:t>
      </w:r>
      <w:r>
        <w:t>Surviving Partner/Widowed, 95% are seen within 196 days, this is 35 days longer than the closest group (Married/Civil partner).</w:t>
      </w:r>
      <w:r w:rsidR="0004184B">
        <w:t xml:space="preserve"> Below is a graph which shows visually the difference in average waiting times across the different marital statuses.</w:t>
      </w:r>
    </w:p>
    <w:p w14:paraId="2F086834" w14:textId="77777777" w:rsidR="0004184B" w:rsidRDefault="0004184B" w:rsidP="008834AE">
      <w:pPr>
        <w:pStyle w:val="BodyText"/>
        <w:spacing w:before="156" w:line="360" w:lineRule="auto"/>
        <w:ind w:right="115"/>
        <w:jc w:val="left"/>
      </w:pPr>
    </w:p>
    <w:p w14:paraId="3D87836A" w14:textId="77777777" w:rsidR="0004184B" w:rsidRDefault="0004184B" w:rsidP="008834AE">
      <w:pPr>
        <w:pStyle w:val="BodyText"/>
        <w:spacing w:before="156" w:line="360" w:lineRule="auto"/>
        <w:ind w:right="115"/>
        <w:jc w:val="left"/>
      </w:pPr>
    </w:p>
    <w:p w14:paraId="4F673C53" w14:textId="77777777" w:rsidR="0004184B" w:rsidRDefault="0004184B" w:rsidP="008834AE">
      <w:pPr>
        <w:pStyle w:val="BodyText"/>
        <w:spacing w:before="156" w:line="360" w:lineRule="auto"/>
        <w:ind w:right="115"/>
        <w:jc w:val="left"/>
      </w:pPr>
    </w:p>
    <w:p w14:paraId="07E01F75" w14:textId="77777777" w:rsidR="0004184B" w:rsidRDefault="0004184B" w:rsidP="008834AE">
      <w:pPr>
        <w:pStyle w:val="BodyText"/>
        <w:spacing w:before="156" w:line="360" w:lineRule="auto"/>
        <w:ind w:right="115"/>
        <w:jc w:val="left"/>
      </w:pPr>
    </w:p>
    <w:p w14:paraId="394C8F09" w14:textId="77777777" w:rsidR="0004184B" w:rsidRDefault="0004184B" w:rsidP="008834AE">
      <w:pPr>
        <w:pStyle w:val="BodyText"/>
        <w:spacing w:before="156" w:line="360" w:lineRule="auto"/>
        <w:ind w:right="115"/>
        <w:jc w:val="left"/>
      </w:pPr>
    </w:p>
    <w:p w14:paraId="3F5DE7A1" w14:textId="77777777" w:rsidR="0004184B" w:rsidRDefault="0004184B" w:rsidP="008834AE">
      <w:pPr>
        <w:pStyle w:val="BodyText"/>
        <w:spacing w:before="156" w:line="360" w:lineRule="auto"/>
        <w:ind w:right="115"/>
        <w:jc w:val="left"/>
      </w:pPr>
    </w:p>
    <w:p w14:paraId="5F0C9A2A" w14:textId="77777777" w:rsidR="0004184B" w:rsidRDefault="0004184B" w:rsidP="008834AE">
      <w:pPr>
        <w:pStyle w:val="BodyText"/>
        <w:spacing w:before="156" w:line="360" w:lineRule="auto"/>
        <w:ind w:right="115"/>
        <w:jc w:val="left"/>
      </w:pPr>
    </w:p>
    <w:p w14:paraId="68650496" w14:textId="77777777" w:rsidR="0004184B" w:rsidRDefault="0004184B" w:rsidP="008834AE">
      <w:pPr>
        <w:pStyle w:val="BodyText"/>
        <w:spacing w:before="156" w:line="360" w:lineRule="auto"/>
        <w:ind w:right="115"/>
        <w:jc w:val="left"/>
      </w:pPr>
      <w:r w:rsidRPr="0004184B">
        <w:rPr>
          <w:i/>
          <w:iCs/>
        </w:rPr>
        <w:t xml:space="preserve">Graph </w:t>
      </w:r>
      <w:proofErr w:type="gramStart"/>
      <w:r w:rsidRPr="0004184B">
        <w:rPr>
          <w:i/>
          <w:iCs/>
        </w:rPr>
        <w:t>1 :</w:t>
      </w:r>
      <w:proofErr w:type="gramEnd"/>
      <w:r w:rsidRPr="0004184B">
        <w:rPr>
          <w:i/>
          <w:iCs/>
        </w:rPr>
        <w:t xml:space="preserve"> Average waiting time broken down by marital status</w:t>
      </w:r>
      <w:r>
        <w:t xml:space="preserve">. </w:t>
      </w:r>
    </w:p>
    <w:p w14:paraId="02C4573F" w14:textId="70926F59" w:rsidR="008834AE" w:rsidRDefault="008834AE" w:rsidP="008834AE">
      <w:pPr>
        <w:pStyle w:val="BodyText"/>
        <w:spacing w:before="156" w:line="360" w:lineRule="auto"/>
        <w:ind w:right="115"/>
        <w:jc w:val="left"/>
      </w:pPr>
      <w:r>
        <w:rPr>
          <w:noProof/>
        </w:rPr>
        <w:drawing>
          <wp:inline distT="0" distB="0" distL="0" distR="0" wp14:anchorId="66EB16B6" wp14:editId="63D33555">
            <wp:extent cx="5229225" cy="2946705"/>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33060" cy="2948866"/>
                    </a:xfrm>
                    <a:prstGeom prst="rect">
                      <a:avLst/>
                    </a:prstGeom>
                    <a:noFill/>
                  </pic:spPr>
                </pic:pic>
              </a:graphicData>
            </a:graphic>
          </wp:inline>
        </w:drawing>
      </w:r>
    </w:p>
    <w:p w14:paraId="4153AEBB" w14:textId="77777777" w:rsidR="008834AE" w:rsidRDefault="008834AE" w:rsidP="008834AE">
      <w:pPr>
        <w:pStyle w:val="BodyText"/>
        <w:spacing w:before="156" w:line="360" w:lineRule="auto"/>
        <w:ind w:right="115"/>
        <w:jc w:val="left"/>
      </w:pPr>
    </w:p>
    <w:p w14:paraId="4263012B" w14:textId="77777777" w:rsidR="008834AE" w:rsidRDefault="008834AE" w:rsidP="008834AE">
      <w:pPr>
        <w:pStyle w:val="BodyText"/>
        <w:spacing w:before="154"/>
        <w:jc w:val="left"/>
      </w:pPr>
      <w:r>
        <w:rPr>
          <w:color w:val="5A5A5A"/>
        </w:rPr>
        <w:t>Gender:</w:t>
      </w:r>
    </w:p>
    <w:p w14:paraId="6B30B92B" w14:textId="77777777" w:rsidR="008834AE" w:rsidRDefault="008834AE" w:rsidP="008834AE">
      <w:pPr>
        <w:pStyle w:val="BodyText"/>
        <w:spacing w:before="182" w:line="360" w:lineRule="auto"/>
        <w:ind w:right="115"/>
      </w:pPr>
      <w:r>
        <w:rPr>
          <w:i/>
          <w:color w:val="404040"/>
        </w:rPr>
        <w:t xml:space="preserve">Modes of Contact: </w:t>
      </w:r>
      <w:r w:rsidRPr="004358DE">
        <w:t xml:space="preserve">There were significant differences found in relation to mode of contact. Patient’s identifying as </w:t>
      </w:r>
      <w:proofErr w:type="spellStart"/>
      <w:r w:rsidRPr="004358DE">
        <w:t>Birthsex</w:t>
      </w:r>
      <w:proofErr w:type="spellEnd"/>
      <w:r w:rsidRPr="004358DE">
        <w:t xml:space="preserve"> Female – Gender Neutral (N = 48) had lower rates of face-to-face contact compared to all other groups (31%, with 69% telephone contacts recorded). This finding is comparable to last </w:t>
      </w:r>
      <w:proofErr w:type="spellStart"/>
      <w:r w:rsidRPr="004358DE">
        <w:t>years</w:t>
      </w:r>
      <w:proofErr w:type="spellEnd"/>
      <w:r w:rsidRPr="004358DE">
        <w:t xml:space="preserve"> report, indicating that this </w:t>
      </w:r>
      <w:proofErr w:type="gramStart"/>
      <w:r w:rsidRPr="004358DE">
        <w:t>particular cohort</w:t>
      </w:r>
      <w:proofErr w:type="gramEnd"/>
      <w:r w:rsidRPr="004358DE">
        <w:t xml:space="preserve"> of patients prefer other modes of contact to face to face.</w:t>
      </w:r>
    </w:p>
    <w:p w14:paraId="473C8BB3" w14:textId="77777777" w:rsidR="008834AE" w:rsidRDefault="008834AE" w:rsidP="008834AE">
      <w:pPr>
        <w:pStyle w:val="BodyText"/>
        <w:spacing w:before="182" w:line="360" w:lineRule="auto"/>
        <w:ind w:right="115"/>
        <w:rPr>
          <w:i/>
        </w:rPr>
      </w:pPr>
      <w:r>
        <w:rPr>
          <w:i/>
          <w:color w:val="404040"/>
        </w:rPr>
        <w:t>Waiting Times:</w:t>
      </w:r>
    </w:p>
    <w:p w14:paraId="78C82D36" w14:textId="77777777" w:rsidR="008834AE" w:rsidRDefault="008834AE" w:rsidP="008834AE">
      <w:pPr>
        <w:pStyle w:val="BodyText"/>
        <w:spacing w:before="8"/>
        <w:ind w:left="0"/>
        <w:jc w:val="left"/>
        <w:rPr>
          <w:i/>
          <w:sz w:val="24"/>
        </w:rPr>
      </w:pPr>
    </w:p>
    <w:p w14:paraId="327B72FE" w14:textId="73BEC335" w:rsidR="008834AE" w:rsidRDefault="008834AE" w:rsidP="008834AE">
      <w:pPr>
        <w:pStyle w:val="BodyText"/>
        <w:spacing w:before="1" w:line="360" w:lineRule="auto"/>
        <w:ind w:right="116"/>
      </w:pPr>
      <w:r>
        <w:t xml:space="preserve">As in the previous report, statistically significant differences were identified in relation to the </w:t>
      </w:r>
      <w:proofErr w:type="spellStart"/>
      <w:r>
        <w:t>Birthsex</w:t>
      </w:r>
      <w:proofErr w:type="spellEnd"/>
      <w:r>
        <w:t xml:space="preserve"> Female – Gender Neutral</w:t>
      </w:r>
      <w:r w:rsidRPr="009A5112">
        <w:rPr>
          <w:b/>
          <w:bCs/>
        </w:rPr>
        <w:t xml:space="preserve"> </w:t>
      </w:r>
      <w:r>
        <w:t>group (N= 48, Mean = 25.13, IQR = 36 days). This gender had significantly higher waiting</w:t>
      </w:r>
      <w:r>
        <w:rPr>
          <w:spacing w:val="-9"/>
        </w:rPr>
        <w:t xml:space="preserve"> </w:t>
      </w:r>
      <w:r>
        <w:t>times</w:t>
      </w:r>
      <w:r>
        <w:rPr>
          <w:spacing w:val="-10"/>
        </w:rPr>
        <w:t xml:space="preserve"> </w:t>
      </w:r>
      <w:r>
        <w:t>than</w:t>
      </w:r>
      <w:r>
        <w:rPr>
          <w:spacing w:val="-13"/>
        </w:rPr>
        <w:t xml:space="preserve"> </w:t>
      </w:r>
      <w:r>
        <w:t>the</w:t>
      </w:r>
      <w:r>
        <w:rPr>
          <w:spacing w:val="-11"/>
        </w:rPr>
        <w:t xml:space="preserve"> </w:t>
      </w:r>
      <w:r>
        <w:t>Birth</w:t>
      </w:r>
      <w:r>
        <w:rPr>
          <w:spacing w:val="-8"/>
        </w:rPr>
        <w:t xml:space="preserve"> </w:t>
      </w:r>
      <w:r>
        <w:t>Sex</w:t>
      </w:r>
      <w:r>
        <w:rPr>
          <w:spacing w:val="-10"/>
        </w:rPr>
        <w:t xml:space="preserve"> </w:t>
      </w:r>
      <w:r>
        <w:t>Male</w:t>
      </w:r>
      <w:r>
        <w:rPr>
          <w:spacing w:val="-10"/>
        </w:rPr>
        <w:t xml:space="preserve"> </w:t>
      </w:r>
      <w:r>
        <w:t>Gender</w:t>
      </w:r>
      <w:r>
        <w:rPr>
          <w:spacing w:val="-9"/>
        </w:rPr>
        <w:t xml:space="preserve"> </w:t>
      </w:r>
      <w:r>
        <w:t>Neutral</w:t>
      </w:r>
      <w:r>
        <w:rPr>
          <w:spacing w:val="-9"/>
        </w:rPr>
        <w:t xml:space="preserve"> </w:t>
      </w:r>
      <w:r>
        <w:t>group</w:t>
      </w:r>
      <w:r>
        <w:rPr>
          <w:spacing w:val="-11"/>
        </w:rPr>
        <w:t xml:space="preserve"> </w:t>
      </w:r>
      <w:r>
        <w:t>(N=</w:t>
      </w:r>
      <w:r>
        <w:rPr>
          <w:spacing w:val="-9"/>
        </w:rPr>
        <w:t xml:space="preserve"> </w:t>
      </w:r>
      <w:r>
        <w:t>26,</w:t>
      </w:r>
      <w:r>
        <w:rPr>
          <w:spacing w:val="-9"/>
        </w:rPr>
        <w:t xml:space="preserve"> </w:t>
      </w:r>
      <w:r>
        <w:t>mean</w:t>
      </w:r>
      <w:r>
        <w:rPr>
          <w:spacing w:val="-13"/>
        </w:rPr>
        <w:t xml:space="preserve"> </w:t>
      </w:r>
      <w:r>
        <w:t>=10.23,</w:t>
      </w:r>
      <w:r>
        <w:rPr>
          <w:spacing w:val="-9"/>
        </w:rPr>
        <w:t xml:space="preserve"> </w:t>
      </w:r>
      <w:r>
        <w:t>IQR</w:t>
      </w:r>
      <w:r>
        <w:rPr>
          <w:spacing w:val="-11"/>
        </w:rPr>
        <w:t xml:space="preserve"> </w:t>
      </w:r>
      <w:r>
        <w:t>=</w:t>
      </w:r>
      <w:r>
        <w:rPr>
          <w:spacing w:val="-9"/>
        </w:rPr>
        <w:t xml:space="preserve"> </w:t>
      </w:r>
      <w:r>
        <w:t>15</w:t>
      </w:r>
      <w:r>
        <w:rPr>
          <w:spacing w:val="-11"/>
        </w:rPr>
        <w:t xml:space="preserve"> </w:t>
      </w:r>
      <w:r>
        <w:t xml:space="preserve">Days). In addition, significant differences were found between the </w:t>
      </w:r>
      <w:proofErr w:type="gramStart"/>
      <w:r>
        <w:t>Non-Binary</w:t>
      </w:r>
      <w:proofErr w:type="gramEnd"/>
      <w:r>
        <w:t xml:space="preserve"> group and both the Birth</w:t>
      </w:r>
      <w:r>
        <w:rPr>
          <w:spacing w:val="-8"/>
        </w:rPr>
        <w:t xml:space="preserve"> </w:t>
      </w:r>
      <w:r>
        <w:t>Sex</w:t>
      </w:r>
      <w:r>
        <w:rPr>
          <w:spacing w:val="-10"/>
        </w:rPr>
        <w:t xml:space="preserve"> </w:t>
      </w:r>
      <w:r>
        <w:t>Male</w:t>
      </w:r>
      <w:r>
        <w:rPr>
          <w:spacing w:val="-10"/>
        </w:rPr>
        <w:t xml:space="preserve"> </w:t>
      </w:r>
      <w:r>
        <w:t>Gender</w:t>
      </w:r>
      <w:r>
        <w:rPr>
          <w:spacing w:val="-9"/>
        </w:rPr>
        <w:t xml:space="preserve"> </w:t>
      </w:r>
      <w:r>
        <w:t>Neutral and Male (Including Trans Man) groups. The Non-Binary group were found to have significantly higher waiting times than these two groups (N= 100, Mean = 25.99, IQR = 34 days).</w:t>
      </w:r>
      <w:r w:rsidR="0004184B">
        <w:t xml:space="preserve"> Shown below is a graph of the average waiting time in days broken down by Gender.</w:t>
      </w:r>
    </w:p>
    <w:p w14:paraId="42A191E1" w14:textId="4B663C8E" w:rsidR="0004184B" w:rsidRDefault="0004184B" w:rsidP="008834AE">
      <w:pPr>
        <w:pStyle w:val="BodyText"/>
        <w:spacing w:before="1" w:line="360" w:lineRule="auto"/>
        <w:ind w:right="116"/>
      </w:pPr>
    </w:p>
    <w:p w14:paraId="2C2DE8EE" w14:textId="784DC807" w:rsidR="0004184B" w:rsidRDefault="0004184B" w:rsidP="008834AE">
      <w:pPr>
        <w:pStyle w:val="BodyText"/>
        <w:spacing w:before="1" w:line="360" w:lineRule="auto"/>
        <w:ind w:right="116"/>
      </w:pPr>
    </w:p>
    <w:p w14:paraId="5AFF9F04" w14:textId="1B843AA4" w:rsidR="0004184B" w:rsidRDefault="0004184B" w:rsidP="008834AE">
      <w:pPr>
        <w:pStyle w:val="BodyText"/>
        <w:spacing w:before="1" w:line="360" w:lineRule="auto"/>
        <w:ind w:right="116"/>
      </w:pPr>
    </w:p>
    <w:p w14:paraId="3ACA656B" w14:textId="01A18A6C" w:rsidR="0004184B" w:rsidRDefault="0004184B" w:rsidP="008834AE">
      <w:pPr>
        <w:pStyle w:val="BodyText"/>
        <w:spacing w:before="1" w:line="360" w:lineRule="auto"/>
        <w:ind w:right="116"/>
      </w:pPr>
    </w:p>
    <w:p w14:paraId="2D480ED4" w14:textId="56C02A10" w:rsidR="0004184B" w:rsidRPr="0004184B" w:rsidRDefault="0004184B" w:rsidP="008834AE">
      <w:pPr>
        <w:pStyle w:val="BodyText"/>
        <w:spacing w:before="1" w:line="360" w:lineRule="auto"/>
        <w:ind w:right="116"/>
        <w:rPr>
          <w:i/>
          <w:iCs/>
        </w:rPr>
      </w:pPr>
      <w:r w:rsidRPr="0004184B">
        <w:rPr>
          <w:i/>
          <w:iCs/>
        </w:rPr>
        <w:t>Graph 2: Average waiting time broken down by Gender</w:t>
      </w:r>
    </w:p>
    <w:p w14:paraId="44F75636" w14:textId="77777777" w:rsidR="008834AE" w:rsidRDefault="008834AE" w:rsidP="008834AE">
      <w:pPr>
        <w:pStyle w:val="BodyText"/>
        <w:spacing w:before="1" w:line="360" w:lineRule="auto"/>
        <w:ind w:right="116"/>
      </w:pPr>
    </w:p>
    <w:p w14:paraId="5FB32A96" w14:textId="77777777" w:rsidR="008834AE" w:rsidRDefault="008834AE" w:rsidP="008834AE">
      <w:pPr>
        <w:pStyle w:val="BodyText"/>
        <w:spacing w:before="1" w:line="360" w:lineRule="auto"/>
        <w:ind w:right="116"/>
      </w:pPr>
      <w:r>
        <w:rPr>
          <w:noProof/>
        </w:rPr>
        <w:drawing>
          <wp:inline distT="0" distB="0" distL="0" distR="0" wp14:anchorId="38B1E954" wp14:editId="1C510120">
            <wp:extent cx="6139180" cy="28041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39180" cy="2804160"/>
                    </a:xfrm>
                    <a:prstGeom prst="rect">
                      <a:avLst/>
                    </a:prstGeom>
                    <a:noFill/>
                  </pic:spPr>
                </pic:pic>
              </a:graphicData>
            </a:graphic>
          </wp:inline>
        </w:drawing>
      </w:r>
    </w:p>
    <w:p w14:paraId="77759594" w14:textId="77777777" w:rsidR="008834AE" w:rsidRDefault="008834AE" w:rsidP="008834AE">
      <w:pPr>
        <w:pStyle w:val="BodyText"/>
        <w:spacing w:before="159"/>
      </w:pPr>
      <w:r>
        <w:rPr>
          <w:color w:val="5A5A5A"/>
        </w:rPr>
        <w:t>Religion:</w:t>
      </w:r>
    </w:p>
    <w:p w14:paraId="74F84DD7" w14:textId="77777777" w:rsidR="008834AE" w:rsidRDefault="008834AE" w:rsidP="008834AE">
      <w:pPr>
        <w:spacing w:before="182"/>
        <w:ind w:left="120"/>
        <w:jc w:val="both"/>
        <w:rPr>
          <w:i/>
          <w:color w:val="404040"/>
        </w:rPr>
      </w:pPr>
      <w:r>
        <w:rPr>
          <w:i/>
          <w:color w:val="404040"/>
        </w:rPr>
        <w:t>Modes of Contact:</w:t>
      </w:r>
    </w:p>
    <w:p w14:paraId="74CF33B4" w14:textId="77777777" w:rsidR="008834AE" w:rsidRDefault="008834AE" w:rsidP="008834AE">
      <w:pPr>
        <w:spacing w:before="182"/>
        <w:ind w:left="120"/>
        <w:jc w:val="both"/>
        <w:rPr>
          <w:i/>
        </w:rPr>
      </w:pPr>
    </w:p>
    <w:p w14:paraId="4BFF714F" w14:textId="77777777" w:rsidR="008834AE" w:rsidRPr="004358DE" w:rsidRDefault="008834AE" w:rsidP="008834AE">
      <w:pPr>
        <w:pStyle w:val="Default"/>
        <w:spacing w:line="360" w:lineRule="auto"/>
        <w:ind w:left="142"/>
        <w:rPr>
          <w:color w:val="auto"/>
          <w:sz w:val="22"/>
          <w:szCs w:val="22"/>
        </w:rPr>
      </w:pPr>
      <w:r w:rsidRPr="004358DE">
        <w:rPr>
          <w:color w:val="auto"/>
          <w:sz w:val="22"/>
          <w:szCs w:val="22"/>
        </w:rPr>
        <w:t xml:space="preserve">There were some significant differences in modes of initial contacts recorded between religious groups. Some groups had significantly higher rates of face-to-face contact, Hindu, Jewish and Sikh had 59%, 59% and 57% respectively. This is significantly higher than the 37% average. In relation to video conferencing utility, patients identifying as Pagan had significantly higher video conferencing use than any other groups (8% video contacts compared to 3% average). </w:t>
      </w:r>
    </w:p>
    <w:p w14:paraId="21AAB35A" w14:textId="77777777" w:rsidR="008834AE" w:rsidRDefault="008834AE" w:rsidP="008834AE">
      <w:pPr>
        <w:pStyle w:val="BodyText"/>
        <w:spacing w:before="160"/>
      </w:pPr>
      <w:r>
        <w:rPr>
          <w:color w:val="5A5A5A"/>
        </w:rPr>
        <w:t>Waiting Times:</w:t>
      </w:r>
    </w:p>
    <w:p w14:paraId="2CAF3A65" w14:textId="77777777" w:rsidR="008834AE" w:rsidRPr="004358DE" w:rsidRDefault="008834AE" w:rsidP="008834AE">
      <w:pPr>
        <w:pStyle w:val="Default"/>
        <w:spacing w:line="360" w:lineRule="auto"/>
        <w:ind w:left="142"/>
        <w:rPr>
          <w:color w:val="auto"/>
          <w:sz w:val="22"/>
          <w:szCs w:val="22"/>
        </w:rPr>
      </w:pPr>
      <w:r>
        <w:t xml:space="preserve">No significant differences were detected between religious groups. However, </w:t>
      </w:r>
      <w:r w:rsidRPr="004358DE">
        <w:rPr>
          <w:color w:val="auto"/>
          <w:sz w:val="22"/>
          <w:szCs w:val="22"/>
        </w:rPr>
        <w:t xml:space="preserve">large number of patients had a religion recorded as Other, Declined to Disclose, Not Stated or Patient Religion Unknown (N= 36284). </w:t>
      </w:r>
    </w:p>
    <w:p w14:paraId="595FFF18" w14:textId="77777777" w:rsidR="008834AE" w:rsidRDefault="008834AE" w:rsidP="008834AE">
      <w:pPr>
        <w:pStyle w:val="BodyText"/>
        <w:spacing w:before="182" w:line="360" w:lineRule="auto"/>
        <w:ind w:right="120"/>
        <w:rPr>
          <w:i/>
        </w:rPr>
      </w:pPr>
      <w:r>
        <w:rPr>
          <w:i/>
          <w:color w:val="404040"/>
        </w:rPr>
        <w:t>Sexual Orientation:</w:t>
      </w:r>
    </w:p>
    <w:p w14:paraId="52CA23B8" w14:textId="77777777" w:rsidR="008834AE" w:rsidRDefault="008834AE" w:rsidP="008834AE">
      <w:pPr>
        <w:spacing w:before="181"/>
        <w:ind w:left="120"/>
        <w:jc w:val="both"/>
        <w:rPr>
          <w:i/>
        </w:rPr>
      </w:pPr>
      <w:r>
        <w:rPr>
          <w:i/>
          <w:color w:val="404040"/>
        </w:rPr>
        <w:t>Modes of Contact:</w:t>
      </w:r>
    </w:p>
    <w:p w14:paraId="2FC9282E" w14:textId="77777777" w:rsidR="008834AE" w:rsidRDefault="008834AE" w:rsidP="008834AE">
      <w:pPr>
        <w:pStyle w:val="BodyText"/>
        <w:spacing w:before="9"/>
        <w:ind w:left="0"/>
        <w:jc w:val="left"/>
        <w:rPr>
          <w:i/>
          <w:sz w:val="24"/>
        </w:rPr>
      </w:pPr>
    </w:p>
    <w:p w14:paraId="53173A7C" w14:textId="523C87D9" w:rsidR="008834AE" w:rsidRDefault="008834AE" w:rsidP="008834AE">
      <w:pPr>
        <w:pStyle w:val="Default"/>
        <w:spacing w:line="360" w:lineRule="auto"/>
        <w:ind w:left="142"/>
        <w:rPr>
          <w:color w:val="auto"/>
          <w:sz w:val="22"/>
          <w:szCs w:val="22"/>
        </w:rPr>
      </w:pPr>
      <w:r w:rsidRPr="004358DE">
        <w:rPr>
          <w:color w:val="auto"/>
          <w:sz w:val="22"/>
          <w:szCs w:val="22"/>
        </w:rPr>
        <w:t xml:space="preserve">Significant differences were found in relation to modes of contact used at first appointment. </w:t>
      </w:r>
      <w:proofErr w:type="gramStart"/>
      <w:r w:rsidRPr="004358DE">
        <w:rPr>
          <w:color w:val="auto"/>
          <w:sz w:val="22"/>
          <w:szCs w:val="22"/>
        </w:rPr>
        <w:t>Similarly</w:t>
      </w:r>
      <w:proofErr w:type="gramEnd"/>
      <w:r w:rsidRPr="004358DE">
        <w:rPr>
          <w:color w:val="auto"/>
          <w:sz w:val="22"/>
          <w:szCs w:val="22"/>
        </w:rPr>
        <w:t xml:space="preserve"> to last year, patients identifying with a sexual orientation of Heterosexual had a higher rate of face-to-face contacts than any other group (47%), followed closely by those who identified as being Gay/Lesbian (46%). In contrast the group of patients recorded as Not Developmentally Appropriate or Not Age Appropriate (N = 10965) had a significantly high proportion of telephone contact for initial appointment (75% for each). This may be related to process variation between Adult and Child services but was a statistically significant difference. </w:t>
      </w:r>
      <w:r w:rsidR="0004184B">
        <w:rPr>
          <w:color w:val="auto"/>
          <w:sz w:val="22"/>
          <w:szCs w:val="22"/>
        </w:rPr>
        <w:t xml:space="preserve">In the table below, the difference in type of contact is shown across the different sexual orientations. </w:t>
      </w:r>
    </w:p>
    <w:p w14:paraId="3D2B95B7" w14:textId="331F5A4F" w:rsidR="008834AE" w:rsidRPr="004358DE" w:rsidRDefault="008834AE" w:rsidP="008834AE">
      <w:pPr>
        <w:pStyle w:val="Default"/>
        <w:spacing w:line="360" w:lineRule="auto"/>
        <w:ind w:left="142"/>
        <w:rPr>
          <w:color w:val="auto"/>
          <w:sz w:val="22"/>
          <w:szCs w:val="22"/>
        </w:rPr>
      </w:pPr>
      <w:r>
        <w:rPr>
          <w:color w:val="auto"/>
          <w:sz w:val="22"/>
          <w:szCs w:val="22"/>
        </w:rPr>
        <w:t xml:space="preserve">       </w:t>
      </w:r>
      <w:r w:rsidR="0004184B" w:rsidRPr="0004184B">
        <w:rPr>
          <w:i/>
          <w:iCs/>
          <w:color w:val="auto"/>
          <w:sz w:val="22"/>
          <w:szCs w:val="22"/>
        </w:rPr>
        <w:t>Table 2: Type of contact broken down by Sexua</w:t>
      </w:r>
      <w:r w:rsidR="0004184B">
        <w:rPr>
          <w:i/>
          <w:iCs/>
          <w:color w:val="auto"/>
          <w:sz w:val="22"/>
          <w:szCs w:val="22"/>
        </w:rPr>
        <w:t>l Orientation</w:t>
      </w:r>
      <w:r w:rsidR="0004184B">
        <w:rPr>
          <w:color w:val="auto"/>
          <w:sz w:val="22"/>
          <w:szCs w:val="22"/>
        </w:rPr>
        <w:t>.</w:t>
      </w:r>
      <w:r w:rsidR="0004184B" w:rsidRPr="0004184B">
        <w:rPr>
          <w:noProof/>
        </w:rPr>
        <w:drawing>
          <wp:inline distT="0" distB="0" distL="0" distR="0" wp14:anchorId="0ADE12E6" wp14:editId="23D7BCF5">
            <wp:extent cx="6078651" cy="16668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0156" cy="1667288"/>
                    </a:xfrm>
                    <a:prstGeom prst="rect">
                      <a:avLst/>
                    </a:prstGeom>
                    <a:noFill/>
                    <a:ln>
                      <a:noFill/>
                    </a:ln>
                  </pic:spPr>
                </pic:pic>
              </a:graphicData>
            </a:graphic>
          </wp:inline>
        </w:drawing>
      </w:r>
    </w:p>
    <w:p w14:paraId="4C1B722F" w14:textId="77777777" w:rsidR="008834AE" w:rsidRDefault="008834AE" w:rsidP="008834AE">
      <w:pPr>
        <w:spacing w:before="162"/>
        <w:ind w:left="120"/>
        <w:jc w:val="both"/>
        <w:rPr>
          <w:i/>
        </w:rPr>
      </w:pPr>
      <w:r>
        <w:rPr>
          <w:i/>
          <w:color w:val="404040"/>
        </w:rPr>
        <w:t>Waiting Times:</w:t>
      </w:r>
    </w:p>
    <w:p w14:paraId="53F853B5" w14:textId="77777777" w:rsidR="008834AE" w:rsidRDefault="008834AE" w:rsidP="008834AE">
      <w:pPr>
        <w:pStyle w:val="BodyText"/>
        <w:spacing w:before="155"/>
        <w:jc w:val="left"/>
      </w:pPr>
      <w:r>
        <w:t>Patients identifying as Gay/Lesbian had a significantly shorter waiting time than most other groups (N=1375, Mean= 16.81, IQR=16). No other significant differences were noted.</w:t>
      </w:r>
      <w:r>
        <w:br/>
      </w:r>
    </w:p>
    <w:p w14:paraId="78B03066" w14:textId="77777777" w:rsidR="008834AE" w:rsidRDefault="008834AE" w:rsidP="008834AE">
      <w:pPr>
        <w:pStyle w:val="BodyText"/>
        <w:spacing w:before="155"/>
        <w:jc w:val="left"/>
      </w:pPr>
      <w:r>
        <w:rPr>
          <w:color w:val="5A5A5A"/>
        </w:rPr>
        <w:t>Age:</w:t>
      </w:r>
    </w:p>
    <w:p w14:paraId="1A3DBD9B" w14:textId="77777777" w:rsidR="008834AE" w:rsidRDefault="008834AE" w:rsidP="008834AE">
      <w:pPr>
        <w:spacing w:before="181"/>
        <w:ind w:left="120"/>
        <w:rPr>
          <w:i/>
        </w:rPr>
      </w:pPr>
      <w:r>
        <w:rPr>
          <w:i/>
          <w:color w:val="404040"/>
        </w:rPr>
        <w:t>Modes of Contact:</w:t>
      </w:r>
    </w:p>
    <w:p w14:paraId="4D9FA339" w14:textId="77777777" w:rsidR="008834AE" w:rsidRDefault="008834AE" w:rsidP="008834AE">
      <w:pPr>
        <w:pStyle w:val="BodyText"/>
        <w:spacing w:before="9"/>
        <w:ind w:left="0"/>
        <w:jc w:val="left"/>
        <w:rPr>
          <w:i/>
          <w:sz w:val="24"/>
        </w:rPr>
      </w:pPr>
    </w:p>
    <w:p w14:paraId="0045993A" w14:textId="77777777" w:rsidR="008834AE" w:rsidRPr="004358DE" w:rsidRDefault="008834AE" w:rsidP="008834AE">
      <w:pPr>
        <w:pStyle w:val="Default"/>
        <w:spacing w:line="360" w:lineRule="auto"/>
        <w:ind w:left="142"/>
        <w:rPr>
          <w:color w:val="auto"/>
          <w:sz w:val="22"/>
          <w:szCs w:val="22"/>
        </w:rPr>
      </w:pPr>
      <w:r w:rsidRPr="004358DE">
        <w:rPr>
          <w:color w:val="auto"/>
          <w:sz w:val="22"/>
          <w:szCs w:val="22"/>
        </w:rPr>
        <w:t xml:space="preserve">The cohort of patients classified as Under 18 (N=19429) were the only group to show a statistically significant difference in relation to modes of initial contact. This group had only 18% of initial contacts conducted Face to Face (compared to a 41% average across all patients) and an 75% telephone contact rate. </w:t>
      </w:r>
    </w:p>
    <w:p w14:paraId="0913FF8B" w14:textId="77777777" w:rsidR="008834AE" w:rsidRDefault="008834AE" w:rsidP="008834AE">
      <w:pPr>
        <w:spacing w:before="162"/>
        <w:ind w:left="120"/>
        <w:jc w:val="both"/>
        <w:rPr>
          <w:i/>
        </w:rPr>
      </w:pPr>
      <w:r>
        <w:rPr>
          <w:i/>
          <w:color w:val="404040"/>
        </w:rPr>
        <w:t>Waiting Times:</w:t>
      </w:r>
    </w:p>
    <w:p w14:paraId="5F3F372F" w14:textId="77777777" w:rsidR="008834AE" w:rsidRDefault="008834AE" w:rsidP="008834AE">
      <w:pPr>
        <w:pStyle w:val="BodyText"/>
        <w:spacing w:before="9"/>
        <w:ind w:left="0"/>
        <w:jc w:val="left"/>
        <w:rPr>
          <w:i/>
          <w:sz w:val="24"/>
        </w:rPr>
      </w:pPr>
    </w:p>
    <w:p w14:paraId="37B8E07B" w14:textId="1734FD6E" w:rsidR="00AB3ABB" w:rsidRDefault="008834AE" w:rsidP="008834AE">
      <w:pPr>
        <w:pStyle w:val="BodyText"/>
        <w:spacing w:line="360" w:lineRule="auto"/>
        <w:ind w:right="115"/>
      </w:pPr>
      <w:r>
        <w:t>The same as last year, patients</w:t>
      </w:r>
      <w:r>
        <w:rPr>
          <w:spacing w:val="-9"/>
        </w:rPr>
        <w:t xml:space="preserve"> </w:t>
      </w:r>
      <w:r>
        <w:t>in</w:t>
      </w:r>
      <w:r>
        <w:rPr>
          <w:spacing w:val="-11"/>
        </w:rPr>
        <w:t xml:space="preserve"> </w:t>
      </w:r>
      <w:r>
        <w:t>the</w:t>
      </w:r>
      <w:r>
        <w:rPr>
          <w:spacing w:val="-11"/>
        </w:rPr>
        <w:t xml:space="preserve"> </w:t>
      </w:r>
      <w:r>
        <w:t>age</w:t>
      </w:r>
      <w:r>
        <w:rPr>
          <w:spacing w:val="-12"/>
        </w:rPr>
        <w:t xml:space="preserve"> </w:t>
      </w:r>
      <w:r>
        <w:t>groups</w:t>
      </w:r>
      <w:r>
        <w:rPr>
          <w:spacing w:val="-10"/>
        </w:rPr>
        <w:t xml:space="preserve"> </w:t>
      </w:r>
      <w:r>
        <w:t>65+</w:t>
      </w:r>
      <w:r>
        <w:rPr>
          <w:spacing w:val="-11"/>
        </w:rPr>
        <w:t xml:space="preserve"> </w:t>
      </w:r>
      <w:r>
        <w:t>(N=14864,</w:t>
      </w:r>
      <w:r>
        <w:rPr>
          <w:spacing w:val="-10"/>
        </w:rPr>
        <w:t xml:space="preserve"> </w:t>
      </w:r>
      <w:r>
        <w:t>Mean=</w:t>
      </w:r>
      <w:r>
        <w:rPr>
          <w:spacing w:val="-14"/>
        </w:rPr>
        <w:t xml:space="preserve"> </w:t>
      </w:r>
      <w:r>
        <w:t>37.83,</w:t>
      </w:r>
      <w:r>
        <w:rPr>
          <w:spacing w:val="-10"/>
        </w:rPr>
        <w:t xml:space="preserve"> </w:t>
      </w:r>
      <w:r>
        <w:t>IQR=</w:t>
      </w:r>
      <w:r>
        <w:rPr>
          <w:spacing w:val="-12"/>
        </w:rPr>
        <w:t xml:space="preserve"> </w:t>
      </w:r>
      <w:r>
        <w:t>42</w:t>
      </w:r>
      <w:r>
        <w:rPr>
          <w:spacing w:val="-10"/>
        </w:rPr>
        <w:t xml:space="preserve"> </w:t>
      </w:r>
      <w:r>
        <w:t>days)</w:t>
      </w:r>
      <w:r>
        <w:rPr>
          <w:spacing w:val="-10"/>
        </w:rPr>
        <w:t xml:space="preserve"> </w:t>
      </w:r>
      <w:r>
        <w:t>and</w:t>
      </w:r>
      <w:r>
        <w:rPr>
          <w:spacing w:val="-10"/>
        </w:rPr>
        <w:t xml:space="preserve"> </w:t>
      </w:r>
      <w:r>
        <w:t>Under</w:t>
      </w:r>
      <w:r>
        <w:rPr>
          <w:spacing w:val="-8"/>
        </w:rPr>
        <w:t xml:space="preserve"> </w:t>
      </w:r>
      <w:r>
        <w:t>18</w:t>
      </w:r>
      <w:r>
        <w:rPr>
          <w:spacing w:val="-13"/>
        </w:rPr>
        <w:t xml:space="preserve"> </w:t>
      </w:r>
      <w:r>
        <w:t>(N=19429, Mean=</w:t>
      </w:r>
      <w:r>
        <w:rPr>
          <w:spacing w:val="-11"/>
        </w:rPr>
        <w:t xml:space="preserve"> </w:t>
      </w:r>
      <w:r>
        <w:t>27.91,</w:t>
      </w:r>
      <w:r>
        <w:rPr>
          <w:spacing w:val="-9"/>
        </w:rPr>
        <w:t xml:space="preserve"> </w:t>
      </w:r>
      <w:r>
        <w:t>IQR=27</w:t>
      </w:r>
      <w:r>
        <w:rPr>
          <w:spacing w:val="-11"/>
        </w:rPr>
        <w:t xml:space="preserve"> </w:t>
      </w:r>
      <w:r>
        <w:t>days)</w:t>
      </w:r>
      <w:r>
        <w:rPr>
          <w:spacing w:val="-9"/>
        </w:rPr>
        <w:t xml:space="preserve"> </w:t>
      </w:r>
      <w:r>
        <w:t>have</w:t>
      </w:r>
      <w:r>
        <w:rPr>
          <w:spacing w:val="-10"/>
        </w:rPr>
        <w:t xml:space="preserve"> </w:t>
      </w:r>
      <w:r>
        <w:t>statistically</w:t>
      </w:r>
      <w:r>
        <w:rPr>
          <w:spacing w:val="-8"/>
        </w:rPr>
        <w:t xml:space="preserve"> </w:t>
      </w:r>
      <w:r>
        <w:t>higher</w:t>
      </w:r>
      <w:r>
        <w:rPr>
          <w:spacing w:val="-12"/>
        </w:rPr>
        <w:t xml:space="preserve"> </w:t>
      </w:r>
      <w:r>
        <w:t>waiting</w:t>
      </w:r>
      <w:r>
        <w:rPr>
          <w:spacing w:val="-9"/>
        </w:rPr>
        <w:t xml:space="preserve"> </w:t>
      </w:r>
      <w:r>
        <w:t>times</w:t>
      </w:r>
      <w:r>
        <w:rPr>
          <w:spacing w:val="-10"/>
        </w:rPr>
        <w:t xml:space="preserve"> </w:t>
      </w:r>
      <w:r>
        <w:t>to</w:t>
      </w:r>
      <w:r>
        <w:rPr>
          <w:spacing w:val="-10"/>
        </w:rPr>
        <w:t xml:space="preserve"> </w:t>
      </w:r>
      <w:r>
        <w:t>initial</w:t>
      </w:r>
      <w:r>
        <w:rPr>
          <w:spacing w:val="-10"/>
        </w:rPr>
        <w:t xml:space="preserve"> </w:t>
      </w:r>
      <w:r>
        <w:t>appointment</w:t>
      </w:r>
      <w:r>
        <w:rPr>
          <w:spacing w:val="-11"/>
        </w:rPr>
        <w:t xml:space="preserve"> </w:t>
      </w:r>
      <w:r>
        <w:t>than</w:t>
      </w:r>
      <w:r>
        <w:rPr>
          <w:spacing w:val="-8"/>
        </w:rPr>
        <w:t xml:space="preserve"> </w:t>
      </w:r>
      <w:r>
        <w:t>any other group. The average days waiting has increased since the figures reported last year. Examination of the Percentiles for these groups also identifies them as outliers. The 65+ cohort have a 95</w:t>
      </w:r>
      <w:proofErr w:type="spellStart"/>
      <w:r>
        <w:rPr>
          <w:position w:val="8"/>
          <w:sz w:val="14"/>
        </w:rPr>
        <w:t>th</w:t>
      </w:r>
      <w:proofErr w:type="spellEnd"/>
      <w:r>
        <w:rPr>
          <w:position w:val="8"/>
          <w:sz w:val="14"/>
        </w:rPr>
        <w:t xml:space="preserve"> </w:t>
      </w:r>
      <w:r>
        <w:t>percentile of 181 days (95% of the group are seen within 181 days) and the Under 18 group have a 95</w:t>
      </w:r>
      <w:proofErr w:type="spellStart"/>
      <w:r>
        <w:rPr>
          <w:position w:val="8"/>
          <w:sz w:val="14"/>
        </w:rPr>
        <w:t>th</w:t>
      </w:r>
      <w:proofErr w:type="spellEnd"/>
      <w:r>
        <w:rPr>
          <w:position w:val="8"/>
          <w:sz w:val="14"/>
        </w:rPr>
        <w:t xml:space="preserve"> </w:t>
      </w:r>
      <w:r>
        <w:t>percentile of 141 days. All other age groups have 95</w:t>
      </w:r>
      <w:proofErr w:type="spellStart"/>
      <w:r>
        <w:rPr>
          <w:position w:val="8"/>
          <w:sz w:val="14"/>
        </w:rPr>
        <w:t>th</w:t>
      </w:r>
      <w:proofErr w:type="spellEnd"/>
      <w:r>
        <w:rPr>
          <w:position w:val="8"/>
          <w:sz w:val="14"/>
        </w:rPr>
        <w:t xml:space="preserve"> </w:t>
      </w:r>
      <w:r>
        <w:t>percentiles around the 80-90 days mark. The age group with the shortest waiting times was the 30-44 bracket (N= 15805, Mean= 15.5, IQR= 13</w:t>
      </w:r>
      <w:r>
        <w:rPr>
          <w:spacing w:val="-4"/>
        </w:rPr>
        <w:t xml:space="preserve"> </w:t>
      </w:r>
      <w:r>
        <w:t>days).</w:t>
      </w:r>
      <w:r>
        <w:br/>
      </w:r>
      <w:r w:rsidR="0017742F">
        <w:t>days).</w:t>
      </w:r>
    </w:p>
    <w:p w14:paraId="4A888E99" w14:textId="77777777" w:rsidR="00AB3ABB" w:rsidRDefault="00AB3ABB">
      <w:pPr>
        <w:spacing w:line="360" w:lineRule="auto"/>
        <w:sectPr w:rsidR="00AB3ABB">
          <w:pgSz w:w="11910" w:h="16840"/>
          <w:pgMar w:top="1720" w:right="1320" w:bottom="1200" w:left="1320" w:header="708" w:footer="920" w:gutter="0"/>
          <w:cols w:space="720"/>
        </w:sectPr>
      </w:pPr>
    </w:p>
    <w:p w14:paraId="73D35B18" w14:textId="77777777" w:rsidR="00AB3ABB" w:rsidRDefault="0017742F">
      <w:pPr>
        <w:pStyle w:val="BodyText"/>
        <w:spacing w:before="3"/>
      </w:pPr>
      <w:bookmarkStart w:id="4" w:name="_bookmark3"/>
      <w:bookmarkEnd w:id="4"/>
      <w:r>
        <w:rPr>
          <w:u w:val="single"/>
        </w:rPr>
        <w:t>Contact Frequency</w:t>
      </w:r>
    </w:p>
    <w:p w14:paraId="0E5AADEB" w14:textId="7C6BDCB7" w:rsidR="00AB3ABB" w:rsidRDefault="0017742F">
      <w:pPr>
        <w:pStyle w:val="BodyText"/>
        <w:spacing w:before="13" w:line="360" w:lineRule="auto"/>
        <w:ind w:right="111"/>
      </w:pPr>
      <w:r>
        <w:rPr>
          <w:color w:val="5A5A5A"/>
          <w:spacing w:val="10"/>
        </w:rPr>
        <w:t xml:space="preserve">Data: </w:t>
      </w:r>
      <w:r>
        <w:t>The data contained all patients discharged between 1</w:t>
      </w:r>
      <w:proofErr w:type="spellStart"/>
      <w:r>
        <w:rPr>
          <w:position w:val="8"/>
          <w:sz w:val="14"/>
        </w:rPr>
        <w:t>st</w:t>
      </w:r>
      <w:proofErr w:type="spellEnd"/>
      <w:r>
        <w:rPr>
          <w:position w:val="8"/>
          <w:sz w:val="14"/>
        </w:rPr>
        <w:t xml:space="preserve"> </w:t>
      </w:r>
      <w:r>
        <w:t>January 2</w:t>
      </w:r>
      <w:r w:rsidR="0062708E">
        <w:t>2</w:t>
      </w:r>
      <w:r>
        <w:t xml:space="preserve"> and 31</w:t>
      </w:r>
      <w:proofErr w:type="spellStart"/>
      <w:r>
        <w:rPr>
          <w:position w:val="8"/>
          <w:sz w:val="14"/>
        </w:rPr>
        <w:t>st</w:t>
      </w:r>
      <w:proofErr w:type="spellEnd"/>
      <w:r>
        <w:rPr>
          <w:position w:val="8"/>
          <w:sz w:val="14"/>
        </w:rPr>
        <w:t xml:space="preserve"> </w:t>
      </w:r>
      <w:r>
        <w:t>December 2</w:t>
      </w:r>
      <w:r w:rsidR="0062708E">
        <w:t>2</w:t>
      </w:r>
      <w:r>
        <w:t xml:space="preserve"> and tracks the number of contacts that have taken place within the patient journey. The data</w:t>
      </w:r>
      <w:r>
        <w:rPr>
          <w:spacing w:val="-3"/>
        </w:rPr>
        <w:t xml:space="preserve"> </w:t>
      </w:r>
      <w:r>
        <w:t>included</w:t>
      </w:r>
      <w:r>
        <w:rPr>
          <w:spacing w:val="-3"/>
        </w:rPr>
        <w:t xml:space="preserve"> </w:t>
      </w:r>
      <w:r>
        <w:t>all</w:t>
      </w:r>
      <w:r>
        <w:rPr>
          <w:spacing w:val="-4"/>
        </w:rPr>
        <w:t xml:space="preserve"> </w:t>
      </w:r>
      <w:r>
        <w:t>direct</w:t>
      </w:r>
      <w:r>
        <w:rPr>
          <w:spacing w:val="-4"/>
        </w:rPr>
        <w:t xml:space="preserve"> </w:t>
      </w:r>
      <w:r>
        <w:t>contact</w:t>
      </w:r>
      <w:r>
        <w:rPr>
          <w:spacing w:val="-4"/>
        </w:rPr>
        <w:t xml:space="preserve"> </w:t>
      </w:r>
      <w:r>
        <w:t>modes</w:t>
      </w:r>
      <w:r>
        <w:rPr>
          <w:spacing w:val="-4"/>
        </w:rPr>
        <w:t xml:space="preserve"> </w:t>
      </w:r>
      <w:r>
        <w:t>(face</w:t>
      </w:r>
      <w:r>
        <w:rPr>
          <w:spacing w:val="-6"/>
        </w:rPr>
        <w:t xml:space="preserve"> </w:t>
      </w:r>
      <w:r>
        <w:t>to</w:t>
      </w:r>
      <w:r>
        <w:rPr>
          <w:spacing w:val="-5"/>
        </w:rPr>
        <w:t xml:space="preserve"> </w:t>
      </w:r>
      <w:r>
        <w:t>face,</w:t>
      </w:r>
      <w:r>
        <w:rPr>
          <w:spacing w:val="-2"/>
        </w:rPr>
        <w:t xml:space="preserve"> </w:t>
      </w:r>
      <w:r>
        <w:t>direct</w:t>
      </w:r>
      <w:r>
        <w:rPr>
          <w:spacing w:val="-4"/>
        </w:rPr>
        <w:t xml:space="preserve"> </w:t>
      </w:r>
      <w:proofErr w:type="gramStart"/>
      <w:r>
        <w:t>telephone</w:t>
      </w:r>
      <w:proofErr w:type="gramEnd"/>
      <w:r>
        <w:rPr>
          <w:spacing w:val="-3"/>
        </w:rPr>
        <w:t xml:space="preserve"> </w:t>
      </w:r>
      <w:r>
        <w:t>and</w:t>
      </w:r>
      <w:r>
        <w:rPr>
          <w:spacing w:val="-4"/>
        </w:rPr>
        <w:t xml:space="preserve"> </w:t>
      </w:r>
      <w:r>
        <w:t>video</w:t>
      </w:r>
      <w:r>
        <w:rPr>
          <w:spacing w:val="-3"/>
        </w:rPr>
        <w:t xml:space="preserve"> </w:t>
      </w:r>
      <w:r>
        <w:t>conferencing) and indirect contact types</w:t>
      </w:r>
      <w:r>
        <w:rPr>
          <w:spacing w:val="-2"/>
        </w:rPr>
        <w:t xml:space="preserve"> </w:t>
      </w:r>
      <w:r>
        <w:t>(Proxy).</w:t>
      </w:r>
    </w:p>
    <w:p w14:paraId="47CED023" w14:textId="77777777" w:rsidR="00AB3ABB" w:rsidRDefault="0017742F">
      <w:pPr>
        <w:pStyle w:val="BodyText"/>
        <w:spacing w:before="160" w:line="360" w:lineRule="auto"/>
        <w:ind w:right="111"/>
      </w:pPr>
      <w:r>
        <w:rPr>
          <w:color w:val="5A5A5A"/>
        </w:rPr>
        <w:t xml:space="preserve">Analysis: </w:t>
      </w:r>
      <w:r>
        <w:t>Descriptive analysis of the central tendency of data and analysis of variance were utilised to explore whether any significant differences exist in contact frequency between and within protected groups, accounting for differences in sample size.</w:t>
      </w:r>
    </w:p>
    <w:p w14:paraId="6413984B" w14:textId="77777777" w:rsidR="00AB3ABB" w:rsidRDefault="0017742F">
      <w:pPr>
        <w:pStyle w:val="BodyText"/>
        <w:spacing w:before="160"/>
      </w:pPr>
      <w:r>
        <w:rPr>
          <w:color w:val="5A5A5A"/>
        </w:rPr>
        <w:t>Results:</w:t>
      </w:r>
    </w:p>
    <w:p w14:paraId="5EC65D52" w14:textId="77777777" w:rsidR="00AB3ABB" w:rsidRDefault="0017742F">
      <w:pPr>
        <w:pStyle w:val="BodyText"/>
        <w:spacing w:before="180"/>
      </w:pPr>
      <w:r>
        <w:rPr>
          <w:color w:val="5A5A5A"/>
        </w:rPr>
        <w:t>Ethnicity:</w:t>
      </w:r>
    </w:p>
    <w:p w14:paraId="6471FE83" w14:textId="77777777" w:rsidR="0061165B" w:rsidRDefault="0061165B" w:rsidP="0062708E">
      <w:pPr>
        <w:widowControl/>
        <w:adjustRightInd w:val="0"/>
        <w:spacing w:line="360" w:lineRule="auto"/>
        <w:ind w:left="142"/>
      </w:pPr>
    </w:p>
    <w:p w14:paraId="7AF6F817" w14:textId="5368542C" w:rsidR="00AB3ABB" w:rsidRPr="0062708E" w:rsidRDefault="0017742F" w:rsidP="0062708E">
      <w:pPr>
        <w:widowControl/>
        <w:adjustRightInd w:val="0"/>
        <w:spacing w:line="360" w:lineRule="auto"/>
        <w:ind w:left="142"/>
        <w:rPr>
          <w:rFonts w:eastAsiaTheme="minorHAnsi"/>
          <w:color w:val="000000"/>
          <w:lang w:eastAsia="en-US" w:bidi="ar-SA"/>
        </w:rPr>
      </w:pPr>
      <w:r>
        <w:t>No</w:t>
      </w:r>
      <w:r>
        <w:rPr>
          <w:spacing w:val="-12"/>
        </w:rPr>
        <w:t xml:space="preserve"> </w:t>
      </w:r>
      <w:r>
        <w:t>statistically</w:t>
      </w:r>
      <w:r>
        <w:rPr>
          <w:spacing w:val="-11"/>
        </w:rPr>
        <w:t xml:space="preserve"> </w:t>
      </w:r>
      <w:r>
        <w:t>significant</w:t>
      </w:r>
      <w:r>
        <w:rPr>
          <w:spacing w:val="-12"/>
        </w:rPr>
        <w:t xml:space="preserve"> </w:t>
      </w:r>
      <w:r>
        <w:t>differences</w:t>
      </w:r>
      <w:r>
        <w:rPr>
          <w:spacing w:val="-14"/>
        </w:rPr>
        <w:t xml:space="preserve"> </w:t>
      </w:r>
      <w:r>
        <w:t>were</w:t>
      </w:r>
      <w:r>
        <w:rPr>
          <w:spacing w:val="-13"/>
        </w:rPr>
        <w:t xml:space="preserve"> </w:t>
      </w:r>
      <w:r>
        <w:t>observed</w:t>
      </w:r>
      <w:r>
        <w:rPr>
          <w:spacing w:val="-12"/>
        </w:rPr>
        <w:t xml:space="preserve"> </w:t>
      </w:r>
      <w:r>
        <w:t>between</w:t>
      </w:r>
      <w:r>
        <w:rPr>
          <w:spacing w:val="-14"/>
        </w:rPr>
        <w:t xml:space="preserve"> </w:t>
      </w:r>
      <w:r>
        <w:t>groups</w:t>
      </w:r>
      <w:r>
        <w:rPr>
          <w:spacing w:val="-11"/>
        </w:rPr>
        <w:t xml:space="preserve"> </w:t>
      </w:r>
      <w:r>
        <w:t>in</w:t>
      </w:r>
      <w:r>
        <w:rPr>
          <w:spacing w:val="-14"/>
        </w:rPr>
        <w:t xml:space="preserve"> </w:t>
      </w:r>
      <w:r>
        <w:t>relation</w:t>
      </w:r>
      <w:r>
        <w:rPr>
          <w:spacing w:val="-12"/>
        </w:rPr>
        <w:t xml:space="preserve"> </w:t>
      </w:r>
      <w:r>
        <w:t>to</w:t>
      </w:r>
      <w:r>
        <w:rPr>
          <w:spacing w:val="-16"/>
        </w:rPr>
        <w:t xml:space="preserve"> </w:t>
      </w:r>
      <w:r>
        <w:t>the</w:t>
      </w:r>
      <w:r>
        <w:rPr>
          <w:spacing w:val="-14"/>
        </w:rPr>
        <w:t xml:space="preserve"> </w:t>
      </w:r>
      <w:r>
        <w:t xml:space="preserve">number of contacts recorded within a patient journey. The average number of contacts across all groups was </w:t>
      </w:r>
      <w:r w:rsidR="0062708E">
        <w:t>18.</w:t>
      </w:r>
      <w:r w:rsidR="0062708E" w:rsidRPr="0062708E">
        <w:rPr>
          <w:rFonts w:eastAsiaTheme="minorHAnsi"/>
          <w:color w:val="000000"/>
          <w:lang w:eastAsia="en-US" w:bidi="ar-SA"/>
        </w:rPr>
        <w:t xml:space="preserve"> </w:t>
      </w:r>
      <w:r w:rsidR="0062708E" w:rsidRPr="00C64A01">
        <w:rPr>
          <w:rFonts w:eastAsiaTheme="minorHAnsi"/>
          <w:color w:val="000000"/>
          <w:lang w:eastAsia="en-US" w:bidi="ar-SA"/>
        </w:rPr>
        <w:t xml:space="preserve">The ethnicity group with the highest average number of contacts is Black/Black British African (N = 10330, Mean = 92.23), followed by Eastern European (N = 580, Mean = 52.73), Asian/Asian British Indian (N = 4176, Mean = 39.03). Patients identifying themselves as White had a total of 1,339,771 contacts throughout their patient journeys (Mean = 21.04). Gypsy/Romany accounted for the smallest number of events (N = 4, Mean = 2). </w:t>
      </w:r>
    </w:p>
    <w:p w14:paraId="6F987A5F" w14:textId="77777777" w:rsidR="00AB3ABB" w:rsidRDefault="0017742F">
      <w:pPr>
        <w:pStyle w:val="BodyText"/>
        <w:spacing w:before="160"/>
      </w:pPr>
      <w:r>
        <w:rPr>
          <w:color w:val="5A5A5A"/>
        </w:rPr>
        <w:t>Marital Status:</w:t>
      </w:r>
    </w:p>
    <w:p w14:paraId="63B93663" w14:textId="77777777" w:rsidR="0061165B" w:rsidRDefault="0061165B" w:rsidP="0061165B">
      <w:pPr>
        <w:widowControl/>
        <w:adjustRightInd w:val="0"/>
        <w:spacing w:line="360" w:lineRule="auto"/>
        <w:ind w:left="142"/>
        <w:rPr>
          <w:rFonts w:eastAsiaTheme="minorHAnsi"/>
          <w:color w:val="000000"/>
          <w:lang w:eastAsia="en-US" w:bidi="ar-SA"/>
        </w:rPr>
      </w:pPr>
    </w:p>
    <w:p w14:paraId="573E5F3D" w14:textId="1014C44D" w:rsidR="0061165B" w:rsidRPr="00C64A01" w:rsidRDefault="0061165B" w:rsidP="0061165B">
      <w:pPr>
        <w:widowControl/>
        <w:adjustRightInd w:val="0"/>
        <w:spacing w:line="360" w:lineRule="auto"/>
        <w:ind w:left="142"/>
        <w:rPr>
          <w:rFonts w:eastAsiaTheme="minorHAnsi"/>
          <w:color w:val="000000"/>
          <w:lang w:eastAsia="en-US" w:bidi="ar-SA"/>
        </w:rPr>
      </w:pPr>
      <w:r w:rsidRPr="00C64A01">
        <w:rPr>
          <w:rFonts w:eastAsiaTheme="minorHAnsi"/>
          <w:color w:val="000000"/>
          <w:lang w:eastAsia="en-US" w:bidi="ar-SA"/>
        </w:rPr>
        <w:t xml:space="preserve">Statistically significant differences were detected between number of contacts and marital status. Patients with a marital status of Divorced/Civil Partnership Dissolved (N= </w:t>
      </w:r>
      <w:r>
        <w:rPr>
          <w:rFonts w:eastAsiaTheme="minorHAnsi"/>
          <w:color w:val="000000"/>
          <w:lang w:eastAsia="en-US" w:bidi="ar-SA"/>
        </w:rPr>
        <w:t>2063</w:t>
      </w:r>
      <w:r w:rsidRPr="00C64A01">
        <w:rPr>
          <w:rFonts w:eastAsiaTheme="minorHAnsi"/>
          <w:color w:val="000000"/>
          <w:lang w:eastAsia="en-US" w:bidi="ar-SA"/>
        </w:rPr>
        <w:t>, Mean= 34.46), Single (N=816468, Mean= 20.54) or Married/Civil Partner (N = 245331, Mean= 23.30) had significantly more contacts than patients with a marital status of Living with a Partner (N = 29204, Mean = 14.30) In a Relationship (N = 30753, Mean = 12.54), and Not Known (N = 7055, Mean = 6.06).</w:t>
      </w:r>
    </w:p>
    <w:p w14:paraId="332F71B7" w14:textId="77777777" w:rsidR="00AB3ABB" w:rsidRDefault="0017742F">
      <w:pPr>
        <w:pStyle w:val="BodyText"/>
        <w:spacing w:before="160"/>
        <w:jc w:val="left"/>
      </w:pPr>
      <w:r>
        <w:rPr>
          <w:color w:val="5A5A5A"/>
        </w:rPr>
        <w:t>Gender:</w:t>
      </w:r>
    </w:p>
    <w:p w14:paraId="293AF026" w14:textId="6EB10B89" w:rsidR="0091676E" w:rsidRPr="00C64A01" w:rsidRDefault="0091676E" w:rsidP="0091676E">
      <w:pPr>
        <w:widowControl/>
        <w:adjustRightInd w:val="0"/>
        <w:spacing w:line="360" w:lineRule="auto"/>
        <w:ind w:left="142"/>
        <w:rPr>
          <w:rFonts w:eastAsiaTheme="minorHAnsi"/>
          <w:color w:val="000000"/>
          <w:lang w:eastAsia="en-US" w:bidi="ar-SA"/>
        </w:rPr>
      </w:pPr>
      <w:r>
        <w:t xml:space="preserve">No statistically significant differences were identified in relation to number of contacts and Gender. </w:t>
      </w:r>
      <w:r w:rsidRPr="00C64A01">
        <w:rPr>
          <w:rFonts w:eastAsiaTheme="minorHAnsi"/>
          <w:color w:val="000000"/>
          <w:lang w:eastAsia="en-US" w:bidi="ar-SA"/>
        </w:rPr>
        <w:t xml:space="preserve">However, those with the highest average </w:t>
      </w:r>
      <w:r>
        <w:rPr>
          <w:rFonts w:eastAsiaTheme="minorHAnsi"/>
          <w:color w:val="000000"/>
          <w:lang w:eastAsia="en-US" w:bidi="ar-SA"/>
        </w:rPr>
        <w:t xml:space="preserve">number </w:t>
      </w:r>
      <w:r w:rsidRPr="00C64A01">
        <w:rPr>
          <w:rFonts w:eastAsiaTheme="minorHAnsi"/>
          <w:color w:val="000000"/>
          <w:lang w:eastAsia="en-US" w:bidi="ar-SA"/>
        </w:rPr>
        <w:t xml:space="preserve">of contacts are </w:t>
      </w:r>
      <w:proofErr w:type="spellStart"/>
      <w:r w:rsidRPr="00C64A01">
        <w:rPr>
          <w:rFonts w:eastAsiaTheme="minorHAnsi"/>
          <w:color w:val="000000"/>
          <w:lang w:eastAsia="en-US" w:bidi="ar-SA"/>
        </w:rPr>
        <w:t>Birthsex</w:t>
      </w:r>
      <w:proofErr w:type="spellEnd"/>
      <w:r w:rsidRPr="00C64A01">
        <w:rPr>
          <w:rFonts w:eastAsiaTheme="minorHAnsi"/>
          <w:color w:val="000000"/>
          <w:lang w:eastAsia="en-US" w:bidi="ar-SA"/>
        </w:rPr>
        <w:t xml:space="preserve"> Male – Gender Neutral (N = </w:t>
      </w:r>
      <w:r w:rsidR="008A7CC7">
        <w:rPr>
          <w:rFonts w:eastAsiaTheme="minorHAnsi"/>
          <w:color w:val="000000"/>
          <w:lang w:eastAsia="en-US" w:bidi="ar-SA"/>
        </w:rPr>
        <w:t>36</w:t>
      </w:r>
      <w:r w:rsidRPr="00C64A01">
        <w:rPr>
          <w:rFonts w:eastAsiaTheme="minorHAnsi"/>
          <w:color w:val="000000"/>
          <w:lang w:eastAsia="en-US" w:bidi="ar-SA"/>
        </w:rPr>
        <w:t xml:space="preserve">, Mean = 27.67) and </w:t>
      </w:r>
      <w:proofErr w:type="spellStart"/>
      <w:r w:rsidRPr="00C64A01">
        <w:rPr>
          <w:rFonts w:eastAsiaTheme="minorHAnsi"/>
          <w:color w:val="000000"/>
          <w:lang w:eastAsia="en-US" w:bidi="ar-SA"/>
        </w:rPr>
        <w:t>Birthsex</w:t>
      </w:r>
      <w:proofErr w:type="spellEnd"/>
      <w:r w:rsidRPr="00C64A01">
        <w:rPr>
          <w:rFonts w:eastAsiaTheme="minorHAnsi"/>
          <w:color w:val="000000"/>
          <w:lang w:eastAsia="en-US" w:bidi="ar-SA"/>
        </w:rPr>
        <w:t xml:space="preserve"> Female – Gender Neutral (N = </w:t>
      </w:r>
      <w:r w:rsidR="008A7CC7">
        <w:rPr>
          <w:rFonts w:eastAsiaTheme="minorHAnsi"/>
          <w:color w:val="000000"/>
          <w:lang w:eastAsia="en-US" w:bidi="ar-SA"/>
        </w:rPr>
        <w:t>66</w:t>
      </w:r>
      <w:r w:rsidRPr="00C64A01">
        <w:rPr>
          <w:rFonts w:eastAsiaTheme="minorHAnsi"/>
          <w:color w:val="000000"/>
          <w:lang w:eastAsia="en-US" w:bidi="ar-SA"/>
        </w:rPr>
        <w:t>, Mean = 25.56).</w:t>
      </w:r>
    </w:p>
    <w:p w14:paraId="76D9F8D5" w14:textId="77777777" w:rsidR="00AB3ABB" w:rsidRDefault="0017742F">
      <w:pPr>
        <w:pStyle w:val="BodyText"/>
        <w:spacing w:before="160"/>
      </w:pPr>
      <w:r>
        <w:rPr>
          <w:color w:val="5A5A5A"/>
        </w:rPr>
        <w:t>Religion:</w:t>
      </w:r>
    </w:p>
    <w:p w14:paraId="130BE7B1" w14:textId="77777777" w:rsidR="008913F6" w:rsidRDefault="008913F6" w:rsidP="008913F6">
      <w:pPr>
        <w:widowControl/>
        <w:adjustRightInd w:val="0"/>
        <w:spacing w:line="360" w:lineRule="auto"/>
        <w:ind w:left="142"/>
        <w:rPr>
          <w:rFonts w:eastAsiaTheme="minorHAnsi"/>
          <w:color w:val="000000"/>
          <w:lang w:eastAsia="en-US" w:bidi="ar-SA"/>
        </w:rPr>
      </w:pPr>
      <w:bookmarkStart w:id="5" w:name="_Hlk129110342"/>
    </w:p>
    <w:p w14:paraId="17C8193C" w14:textId="0BF2F42B" w:rsidR="008913F6" w:rsidRPr="00C64A01" w:rsidRDefault="008913F6" w:rsidP="008913F6">
      <w:pPr>
        <w:widowControl/>
        <w:adjustRightInd w:val="0"/>
        <w:spacing w:line="360" w:lineRule="auto"/>
        <w:ind w:left="142"/>
        <w:rPr>
          <w:rFonts w:eastAsiaTheme="minorHAnsi"/>
          <w:color w:val="000000"/>
          <w:lang w:eastAsia="en-US" w:bidi="ar-SA"/>
        </w:rPr>
      </w:pPr>
      <w:r w:rsidRPr="00C64A01">
        <w:rPr>
          <w:rFonts w:eastAsiaTheme="minorHAnsi"/>
          <w:color w:val="000000"/>
          <w:lang w:eastAsia="en-US" w:bidi="ar-SA"/>
        </w:rPr>
        <w:t xml:space="preserve">No statistically significant differences were identified in relation to number of contacts and religion. The Buddhist faith had the highest average number of contacts (N= </w:t>
      </w:r>
      <w:r>
        <w:rPr>
          <w:rFonts w:eastAsiaTheme="minorHAnsi"/>
          <w:color w:val="000000"/>
          <w:lang w:eastAsia="en-US" w:bidi="ar-SA"/>
        </w:rPr>
        <w:t>70</w:t>
      </w:r>
      <w:r w:rsidRPr="00C64A01">
        <w:rPr>
          <w:rFonts w:eastAsiaTheme="minorHAnsi"/>
          <w:color w:val="000000"/>
          <w:lang w:eastAsia="en-US" w:bidi="ar-SA"/>
        </w:rPr>
        <w:t>, Mean= 74.24</w:t>
      </w:r>
      <w:r>
        <w:rPr>
          <w:rFonts w:eastAsiaTheme="minorHAnsi"/>
          <w:color w:val="000000"/>
          <w:lang w:eastAsia="en-US" w:bidi="ar-SA"/>
        </w:rPr>
        <w:t>, IQR= 23</w:t>
      </w:r>
      <w:r w:rsidRPr="00C64A01">
        <w:rPr>
          <w:rFonts w:eastAsiaTheme="minorHAnsi"/>
          <w:color w:val="000000"/>
          <w:lang w:eastAsia="en-US" w:bidi="ar-SA"/>
        </w:rPr>
        <w:t xml:space="preserve">) which has changed significantly from 2021 data, where it was one of the lowest within the data. </w:t>
      </w:r>
      <w:r>
        <w:rPr>
          <w:rFonts w:eastAsiaTheme="minorHAnsi"/>
          <w:color w:val="000000"/>
          <w:lang w:eastAsia="en-US" w:bidi="ar-SA"/>
        </w:rPr>
        <w:t xml:space="preserve">However, there were large variations within the Buddhist group (standard deviation = 283 contacts), removal of the most extreme values (upper and lower 2.5%), results in a mean of 20.67 contacts. </w:t>
      </w:r>
      <w:r w:rsidRPr="00C64A01">
        <w:rPr>
          <w:rFonts w:eastAsiaTheme="minorHAnsi"/>
          <w:color w:val="000000"/>
          <w:lang w:eastAsia="en-US" w:bidi="ar-SA"/>
        </w:rPr>
        <w:t xml:space="preserve">The smallest number of contacts was seen in the Zoroastrian (N=1, Mean= 1) and Jain (N = 3, Mean = 1.50). </w:t>
      </w:r>
    </w:p>
    <w:bookmarkEnd w:id="5"/>
    <w:p w14:paraId="3AD4FC2D" w14:textId="77777777" w:rsidR="00640027" w:rsidRPr="00C64A01" w:rsidRDefault="0017742F" w:rsidP="00640027">
      <w:pPr>
        <w:widowControl/>
        <w:adjustRightInd w:val="0"/>
        <w:spacing w:line="360" w:lineRule="auto"/>
        <w:ind w:left="142"/>
        <w:rPr>
          <w:rFonts w:eastAsiaTheme="minorHAnsi"/>
          <w:color w:val="000000"/>
          <w:lang w:eastAsia="en-US" w:bidi="ar-SA"/>
        </w:rPr>
      </w:pPr>
      <w:r>
        <w:rPr>
          <w:color w:val="5A5A5A"/>
        </w:rPr>
        <w:t xml:space="preserve">Sexual Orientation: </w:t>
      </w:r>
      <w:r>
        <w:t xml:space="preserve">There were </w:t>
      </w:r>
      <w:proofErr w:type="gramStart"/>
      <w:r>
        <w:t>a large number of</w:t>
      </w:r>
      <w:proofErr w:type="gramEnd"/>
      <w:r>
        <w:t xml:space="preserve"> blank records where sexual orientation wasn’t recorded (1</w:t>
      </w:r>
      <w:r w:rsidR="00640027">
        <w:t>7361</w:t>
      </w:r>
      <w:r>
        <w:t xml:space="preserve">). </w:t>
      </w:r>
      <w:r w:rsidR="00640027" w:rsidRPr="00C64A01">
        <w:rPr>
          <w:rFonts w:eastAsiaTheme="minorHAnsi"/>
          <w:color w:val="000000"/>
          <w:lang w:eastAsia="en-US" w:bidi="ar-SA"/>
        </w:rPr>
        <w:t>This group was found to have a lower average number of contacts compared to other groups (Mean = 10.17). Assessing average values, the Other (N=315) had the highest average of all groups (Mean = 41).</w:t>
      </w:r>
    </w:p>
    <w:p w14:paraId="14877570" w14:textId="68EADC7B" w:rsidR="00AB3ABB" w:rsidRDefault="0017742F" w:rsidP="00640027">
      <w:pPr>
        <w:pStyle w:val="BodyText"/>
        <w:spacing w:before="155" w:line="360" w:lineRule="auto"/>
        <w:ind w:right="115"/>
      </w:pPr>
      <w:r>
        <w:rPr>
          <w:color w:val="5A5A5A"/>
        </w:rPr>
        <w:t xml:space="preserve">Age: </w:t>
      </w:r>
      <w:r>
        <w:t>Statistically significant differences were detected between age categories and number of contacts. The 18-29 (N = 1</w:t>
      </w:r>
      <w:r w:rsidR="00640027">
        <w:t>5501</w:t>
      </w:r>
      <w:r>
        <w:t xml:space="preserve">, Mean = </w:t>
      </w:r>
      <w:r w:rsidR="00640027">
        <w:t>20.52</w:t>
      </w:r>
      <w:r>
        <w:t xml:space="preserve">, IQR 6)) and 65+ (N = </w:t>
      </w:r>
      <w:r w:rsidR="00640027">
        <w:t>15083</w:t>
      </w:r>
      <w:r>
        <w:t xml:space="preserve">, Mean = </w:t>
      </w:r>
      <w:r w:rsidR="00640027">
        <w:t>21.64</w:t>
      </w:r>
      <w:r>
        <w:t xml:space="preserve">, IQR = 7) had a statistically higher number of contacts than all other groups. </w:t>
      </w:r>
    </w:p>
    <w:p w14:paraId="2BB10FF9" w14:textId="77777777" w:rsidR="00AB3ABB" w:rsidRDefault="00AB3ABB">
      <w:pPr>
        <w:spacing w:line="360" w:lineRule="auto"/>
        <w:sectPr w:rsidR="00AB3ABB">
          <w:pgSz w:w="11910" w:h="16840"/>
          <w:pgMar w:top="1720" w:right="1320" w:bottom="1200" w:left="1320" w:header="708" w:footer="920" w:gutter="0"/>
          <w:cols w:space="720"/>
        </w:sectPr>
      </w:pPr>
    </w:p>
    <w:p w14:paraId="42BE8578" w14:textId="5B2C074A" w:rsidR="00AB3ABB" w:rsidRPr="005B5FF6" w:rsidRDefault="0017742F">
      <w:pPr>
        <w:pStyle w:val="BodyText"/>
        <w:spacing w:before="3"/>
        <w:jc w:val="left"/>
        <w:rPr>
          <w:color w:val="4F6228" w:themeColor="accent3" w:themeShade="80"/>
        </w:rPr>
      </w:pPr>
      <w:bookmarkStart w:id="6" w:name="_bookmark4"/>
      <w:bookmarkEnd w:id="6"/>
      <w:r>
        <w:rPr>
          <w:u w:val="single"/>
        </w:rPr>
        <w:t>Interventions:</w:t>
      </w:r>
    </w:p>
    <w:p w14:paraId="4A415FD9" w14:textId="240EAC0A" w:rsidR="00C63914" w:rsidRDefault="0017742F" w:rsidP="00C63914">
      <w:pPr>
        <w:adjustRightInd w:val="0"/>
        <w:spacing w:line="360" w:lineRule="auto"/>
        <w:ind w:left="142"/>
        <w:rPr>
          <w:color w:val="000000"/>
        </w:rPr>
      </w:pPr>
      <w:r>
        <w:rPr>
          <w:color w:val="5A5A5A"/>
        </w:rPr>
        <w:t xml:space="preserve">Data: </w:t>
      </w:r>
      <w:r w:rsidR="00C63914" w:rsidRPr="00EA37DB">
        <w:rPr>
          <w:color w:val="000000"/>
        </w:rPr>
        <w:t>The data contained all patients discharged between 1st January 22 and 31st December 22 and tracks the number of interventions recorded within the patient journey. As a supplementary variable, duration of interventions was also recorded.</w:t>
      </w:r>
    </w:p>
    <w:p w14:paraId="61EACC1B" w14:textId="77777777" w:rsidR="00C63914" w:rsidRPr="00EA37DB" w:rsidRDefault="00C63914" w:rsidP="00C63914">
      <w:pPr>
        <w:adjustRightInd w:val="0"/>
        <w:spacing w:line="360" w:lineRule="auto"/>
        <w:ind w:left="142"/>
        <w:rPr>
          <w:color w:val="000000"/>
        </w:rPr>
      </w:pPr>
    </w:p>
    <w:p w14:paraId="44D2BE89" w14:textId="22CCDC10" w:rsidR="00C63914" w:rsidRPr="007C2AE8" w:rsidRDefault="0017742F" w:rsidP="007C2AE8">
      <w:pPr>
        <w:pStyle w:val="BodyText"/>
        <w:spacing w:before="13" w:line="360" w:lineRule="auto"/>
        <w:ind w:left="142"/>
        <w:jc w:val="left"/>
        <w:rPr>
          <w:color w:val="000000"/>
        </w:rPr>
      </w:pPr>
      <w:r>
        <w:rPr>
          <w:color w:val="5A5A5A"/>
          <w:spacing w:val="12"/>
        </w:rPr>
        <w:t xml:space="preserve">Analysis: </w:t>
      </w:r>
      <w:r w:rsidR="00C63914" w:rsidRPr="00EA37DB">
        <w:rPr>
          <w:color w:val="000000"/>
        </w:rPr>
        <w:t>Descriptive analysis of the central tendency of data and analysis of variance were utilised to explore whether any significant differences exist in intervention frequency between and within protected groups, accounting for differences in sample size. Interventions extracted from the system included: assessment, family/carer intervention, governed psychological therapy, lifestyle, medicine management, physical interventions, psychological well-being, role support and therapeutic interventions.</w:t>
      </w:r>
    </w:p>
    <w:p w14:paraId="02F0C668" w14:textId="77777777" w:rsidR="00AB3ABB" w:rsidRDefault="0017742F">
      <w:pPr>
        <w:pStyle w:val="BodyText"/>
        <w:spacing w:before="159"/>
      </w:pPr>
      <w:r>
        <w:rPr>
          <w:color w:val="5A5A5A"/>
        </w:rPr>
        <w:t>Results:</w:t>
      </w:r>
    </w:p>
    <w:p w14:paraId="69F8481D" w14:textId="77777777" w:rsidR="00AB3ABB" w:rsidRDefault="0017742F">
      <w:pPr>
        <w:pStyle w:val="BodyText"/>
        <w:spacing w:before="179" w:line="360" w:lineRule="auto"/>
        <w:ind w:right="111"/>
      </w:pPr>
      <w:r>
        <w:rPr>
          <w:color w:val="5A5A5A"/>
        </w:rPr>
        <w:t xml:space="preserve">Ethnicity: </w:t>
      </w:r>
      <w:r>
        <w:t>No statistically significant differences were identified across Ethnic groups in relation to the average number of interventions recorded within a patient journey. There were also no significant differences identified in relation to duration. The average number of interventions across all groups (5% trimmed mean) was 5.91, with a median of 3 and an interquartile range of 8.</w:t>
      </w:r>
    </w:p>
    <w:p w14:paraId="74F3738D" w14:textId="77777777" w:rsidR="00AB3ABB" w:rsidRDefault="0017742F">
      <w:pPr>
        <w:pStyle w:val="BodyText"/>
        <w:spacing w:before="162" w:line="360" w:lineRule="auto"/>
        <w:ind w:right="113"/>
      </w:pPr>
      <w:r>
        <w:rPr>
          <w:color w:val="5A5A5A"/>
        </w:rPr>
        <w:t xml:space="preserve">Marital Status: </w:t>
      </w:r>
      <w:r>
        <w:t>Statistical differences were identified between the groups, patients recorded as Divorced/Civil Partnership (Mean = 11.51 IQR = 11), Surviving Partner/Widowed (Mean = 11.19, IQR = 10) and Married/Civil Partnership (Mean = 10.70, IQR = 9) had a significantly higher number of interventions than all other groups. The group recorded as Not Disclosed (Mean = 5.74, IQR = 4) had the lowest number of interventions (statistically significant at the</w:t>
      </w:r>
    </w:p>
    <w:p w14:paraId="3AA4D219" w14:textId="7FA2C63F" w:rsidR="00AB3ABB" w:rsidRDefault="0017742F">
      <w:pPr>
        <w:pStyle w:val="BodyText"/>
        <w:spacing w:line="362" w:lineRule="auto"/>
        <w:ind w:right="114"/>
      </w:pPr>
      <w:r>
        <w:t xml:space="preserve">0.05 level). An increase in data quality is required for recording of marital status </w:t>
      </w:r>
      <w:proofErr w:type="gramStart"/>
      <w:r>
        <w:t>in order for</w:t>
      </w:r>
      <w:proofErr w:type="gramEnd"/>
      <w:r>
        <w:t xml:space="preserve"> the data to reflect the true distribution.</w:t>
      </w:r>
      <w:r w:rsidR="0004184B">
        <w:t xml:space="preserve"> Below is a graph which shows the average number of interventions that have taken place broken down by Marital status.</w:t>
      </w:r>
    </w:p>
    <w:p w14:paraId="4D771E9F" w14:textId="6DDE9552" w:rsidR="0004184B" w:rsidRDefault="0004184B">
      <w:pPr>
        <w:pStyle w:val="BodyText"/>
        <w:spacing w:line="362" w:lineRule="auto"/>
        <w:ind w:right="114"/>
      </w:pPr>
    </w:p>
    <w:p w14:paraId="0F1369A5" w14:textId="76C8A658" w:rsidR="0004184B" w:rsidRDefault="0004184B">
      <w:pPr>
        <w:pStyle w:val="BodyText"/>
        <w:spacing w:line="362" w:lineRule="auto"/>
        <w:ind w:right="114"/>
      </w:pPr>
    </w:p>
    <w:p w14:paraId="0AA28225" w14:textId="176788CE" w:rsidR="0004184B" w:rsidRDefault="0004184B">
      <w:pPr>
        <w:pStyle w:val="BodyText"/>
        <w:spacing w:line="362" w:lineRule="auto"/>
        <w:ind w:right="114"/>
      </w:pPr>
    </w:p>
    <w:p w14:paraId="79F8059F" w14:textId="3AFCAD35" w:rsidR="0004184B" w:rsidRDefault="0004184B">
      <w:pPr>
        <w:pStyle w:val="BodyText"/>
        <w:spacing w:line="362" w:lineRule="auto"/>
        <w:ind w:right="114"/>
      </w:pPr>
    </w:p>
    <w:p w14:paraId="0A8D9B41" w14:textId="7589CDA6" w:rsidR="0004184B" w:rsidRDefault="0004184B">
      <w:pPr>
        <w:pStyle w:val="BodyText"/>
        <w:spacing w:line="362" w:lineRule="auto"/>
        <w:ind w:right="114"/>
      </w:pPr>
    </w:p>
    <w:p w14:paraId="42A34C9F" w14:textId="0DBF3839" w:rsidR="0004184B" w:rsidRDefault="0004184B">
      <w:pPr>
        <w:pStyle w:val="BodyText"/>
        <w:spacing w:line="362" w:lineRule="auto"/>
        <w:ind w:right="114"/>
      </w:pPr>
    </w:p>
    <w:p w14:paraId="7BDC889E" w14:textId="56721227" w:rsidR="0004184B" w:rsidRDefault="0004184B">
      <w:pPr>
        <w:pStyle w:val="BodyText"/>
        <w:spacing w:line="362" w:lineRule="auto"/>
        <w:ind w:right="114"/>
      </w:pPr>
    </w:p>
    <w:p w14:paraId="712F4CA3" w14:textId="3E9C0DB0" w:rsidR="0004184B" w:rsidRDefault="0004184B">
      <w:pPr>
        <w:pStyle w:val="BodyText"/>
        <w:spacing w:line="362" w:lineRule="auto"/>
        <w:ind w:right="114"/>
      </w:pPr>
    </w:p>
    <w:p w14:paraId="03C5F82D" w14:textId="5CCE84A7" w:rsidR="0004184B" w:rsidRDefault="0004184B">
      <w:pPr>
        <w:pStyle w:val="BodyText"/>
        <w:spacing w:line="362" w:lineRule="auto"/>
        <w:ind w:right="114"/>
      </w:pPr>
    </w:p>
    <w:p w14:paraId="79C3DE3F" w14:textId="6A320015" w:rsidR="0004184B" w:rsidRDefault="0004184B">
      <w:pPr>
        <w:pStyle w:val="BodyText"/>
        <w:spacing w:line="362" w:lineRule="auto"/>
        <w:ind w:right="114"/>
      </w:pPr>
    </w:p>
    <w:p w14:paraId="1B3A26BC" w14:textId="20ECAC80" w:rsidR="0004184B" w:rsidRDefault="0004184B">
      <w:pPr>
        <w:pStyle w:val="BodyText"/>
        <w:spacing w:line="362" w:lineRule="auto"/>
        <w:ind w:right="114"/>
      </w:pPr>
    </w:p>
    <w:p w14:paraId="32A278CD" w14:textId="77777777" w:rsidR="0004184B" w:rsidRDefault="0004184B">
      <w:pPr>
        <w:pStyle w:val="BodyText"/>
        <w:spacing w:line="362" w:lineRule="auto"/>
        <w:ind w:right="114"/>
      </w:pPr>
    </w:p>
    <w:p w14:paraId="0CC4B43F" w14:textId="047370D7" w:rsidR="0004184B" w:rsidRPr="0004184B" w:rsidRDefault="0004184B">
      <w:pPr>
        <w:pStyle w:val="BodyText"/>
        <w:spacing w:line="362" w:lineRule="auto"/>
        <w:ind w:right="114"/>
        <w:rPr>
          <w:i/>
          <w:iCs/>
        </w:rPr>
      </w:pPr>
      <w:r>
        <w:rPr>
          <w:i/>
          <w:iCs/>
        </w:rPr>
        <w:t>Graph 3</w:t>
      </w:r>
      <w:r w:rsidRPr="0004184B">
        <w:rPr>
          <w:i/>
          <w:iCs/>
        </w:rPr>
        <w:t>: Average number of interventions broken down by marital status.</w:t>
      </w:r>
    </w:p>
    <w:p w14:paraId="746EABE1" w14:textId="67A5373F" w:rsidR="005D3E45" w:rsidRDefault="005D3E45">
      <w:pPr>
        <w:pStyle w:val="BodyText"/>
        <w:spacing w:line="362" w:lineRule="auto"/>
        <w:ind w:right="114"/>
      </w:pPr>
      <w:r>
        <w:rPr>
          <w:noProof/>
        </w:rPr>
        <w:drawing>
          <wp:inline distT="0" distB="0" distL="0" distR="0" wp14:anchorId="48455E14" wp14:editId="3E23D819">
            <wp:extent cx="5540099" cy="2552368"/>
            <wp:effectExtent l="0" t="0" r="3810" b="635"/>
            <wp:docPr id="21" name="Chart 21">
              <a:extLst xmlns:a="http://schemas.openxmlformats.org/drawingml/2006/main">
                <a:ext uri="{FF2B5EF4-FFF2-40B4-BE49-F238E27FC236}">
                  <a16:creationId xmlns:a16="http://schemas.microsoft.com/office/drawing/2014/main" id="{8C3DC018-72A6-FC7D-F461-42B7540E49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01CD5E2" w14:textId="77777777" w:rsidR="00AB3ABB" w:rsidRDefault="0017742F">
      <w:pPr>
        <w:pStyle w:val="BodyText"/>
        <w:spacing w:before="155" w:line="360" w:lineRule="auto"/>
        <w:ind w:right="113"/>
      </w:pPr>
      <w:r>
        <w:rPr>
          <w:color w:val="5A5A5A"/>
          <w:spacing w:val="11"/>
        </w:rPr>
        <w:t xml:space="preserve">Gender: </w:t>
      </w:r>
      <w:r>
        <w:t>Females (Including Trans Woman) (Mean = 9.16, IQR = 9) were found to have significantly</w:t>
      </w:r>
      <w:r>
        <w:rPr>
          <w:spacing w:val="-12"/>
        </w:rPr>
        <w:t xml:space="preserve"> </w:t>
      </w:r>
      <w:r>
        <w:t>more</w:t>
      </w:r>
      <w:r>
        <w:rPr>
          <w:spacing w:val="-12"/>
        </w:rPr>
        <w:t xml:space="preserve"> </w:t>
      </w:r>
      <w:r>
        <w:t>interventions</w:t>
      </w:r>
      <w:r>
        <w:rPr>
          <w:spacing w:val="-12"/>
        </w:rPr>
        <w:t xml:space="preserve"> </w:t>
      </w:r>
      <w:r>
        <w:t>than</w:t>
      </w:r>
      <w:r>
        <w:rPr>
          <w:spacing w:val="-13"/>
        </w:rPr>
        <w:t xml:space="preserve"> </w:t>
      </w:r>
      <w:r>
        <w:t>Males</w:t>
      </w:r>
      <w:r>
        <w:rPr>
          <w:spacing w:val="-13"/>
        </w:rPr>
        <w:t xml:space="preserve"> </w:t>
      </w:r>
      <w:r>
        <w:t>(Including</w:t>
      </w:r>
      <w:r>
        <w:rPr>
          <w:spacing w:val="-11"/>
        </w:rPr>
        <w:t xml:space="preserve"> </w:t>
      </w:r>
      <w:r>
        <w:t>Trans</w:t>
      </w:r>
      <w:r>
        <w:rPr>
          <w:spacing w:val="-15"/>
        </w:rPr>
        <w:t xml:space="preserve"> </w:t>
      </w:r>
      <w:r>
        <w:t>Man)</w:t>
      </w:r>
      <w:r>
        <w:rPr>
          <w:spacing w:val="-10"/>
        </w:rPr>
        <w:t xml:space="preserve"> </w:t>
      </w:r>
      <w:r>
        <w:t>(Mean</w:t>
      </w:r>
      <w:r>
        <w:rPr>
          <w:spacing w:val="-13"/>
        </w:rPr>
        <w:t xml:space="preserve"> </w:t>
      </w:r>
      <w:r>
        <w:t>=</w:t>
      </w:r>
      <w:r>
        <w:rPr>
          <w:spacing w:val="-14"/>
        </w:rPr>
        <w:t xml:space="preserve"> </w:t>
      </w:r>
      <w:r>
        <w:t>8.15,</w:t>
      </w:r>
      <w:r>
        <w:rPr>
          <w:spacing w:val="-11"/>
        </w:rPr>
        <w:t xml:space="preserve"> </w:t>
      </w:r>
      <w:r>
        <w:t>IQR</w:t>
      </w:r>
      <w:r>
        <w:rPr>
          <w:spacing w:val="-13"/>
        </w:rPr>
        <w:t xml:space="preserve"> </w:t>
      </w:r>
      <w:r>
        <w:t>=</w:t>
      </w:r>
      <w:r>
        <w:rPr>
          <w:spacing w:val="-12"/>
        </w:rPr>
        <w:t xml:space="preserve"> </w:t>
      </w:r>
      <w:r>
        <w:t>7).</w:t>
      </w:r>
      <w:r>
        <w:rPr>
          <w:spacing w:val="-11"/>
        </w:rPr>
        <w:t xml:space="preserve"> </w:t>
      </w:r>
      <w:r>
        <w:t>The difference appears only marginal on assessment of averages across the groups, but the analysis is built from a patient level and takes individual variation into consideration. No</w:t>
      </w:r>
      <w:r>
        <w:rPr>
          <w:spacing w:val="-35"/>
        </w:rPr>
        <w:t xml:space="preserve"> </w:t>
      </w:r>
      <w:r>
        <w:t>other statistically significant results were</w:t>
      </w:r>
      <w:r>
        <w:rPr>
          <w:spacing w:val="-2"/>
        </w:rPr>
        <w:t xml:space="preserve"> </w:t>
      </w:r>
      <w:r>
        <w:t>found.</w:t>
      </w:r>
    </w:p>
    <w:p w14:paraId="4D461FE9" w14:textId="77777777" w:rsidR="00AB3ABB" w:rsidRDefault="0017742F">
      <w:pPr>
        <w:pStyle w:val="BodyText"/>
        <w:spacing w:before="160" w:line="362" w:lineRule="auto"/>
        <w:ind w:right="120"/>
      </w:pPr>
      <w:r>
        <w:rPr>
          <w:color w:val="5A5A5A"/>
        </w:rPr>
        <w:t xml:space="preserve">Religion: </w:t>
      </w:r>
      <w:r>
        <w:t>No statistically significant differences were observed between religion and number/duration of interventions.</w:t>
      </w:r>
    </w:p>
    <w:p w14:paraId="1642FB33" w14:textId="77777777" w:rsidR="00AB3ABB" w:rsidRDefault="0017742F">
      <w:pPr>
        <w:pStyle w:val="BodyText"/>
        <w:spacing w:before="155" w:line="360" w:lineRule="auto"/>
        <w:ind w:right="119"/>
      </w:pPr>
      <w:r>
        <w:rPr>
          <w:color w:val="5A5A5A"/>
        </w:rPr>
        <w:t xml:space="preserve">Sexual Orientation: </w:t>
      </w:r>
      <w:r>
        <w:t>The Not Age-Appropriate category (Mean = 6.96, IQR =8) had a significantly smaller number of interventions recorded than most other groups. No other statistical differences were identified.</w:t>
      </w:r>
    </w:p>
    <w:p w14:paraId="043BE22E" w14:textId="77777777" w:rsidR="00677778" w:rsidRDefault="00677778" w:rsidP="009D3650">
      <w:pPr>
        <w:pStyle w:val="BodyText"/>
        <w:spacing w:before="1" w:line="360" w:lineRule="auto"/>
        <w:ind w:right="113"/>
        <w:rPr>
          <w:color w:val="5A5A5A"/>
        </w:rPr>
      </w:pPr>
    </w:p>
    <w:p w14:paraId="7D7D1D2D" w14:textId="3A55AF89" w:rsidR="009D3650" w:rsidRDefault="009D3650" w:rsidP="009D3650">
      <w:pPr>
        <w:pStyle w:val="BodyText"/>
        <w:spacing w:before="1" w:line="360" w:lineRule="auto"/>
        <w:ind w:right="113"/>
      </w:pPr>
      <w:r w:rsidRPr="009D3650">
        <w:rPr>
          <w:color w:val="5A5A5A"/>
        </w:rPr>
        <w:t xml:space="preserve">Age: </w:t>
      </w:r>
      <w:r w:rsidRPr="009D3650">
        <w:t>The Under 18 group had significantly less interventions recorded than all other groups (Mean = 9.26, IQR =7), whilst the 65+ category had a significantly higher number of interventions recorded (Mean = 27.69, IQR = 10).</w:t>
      </w:r>
    </w:p>
    <w:p w14:paraId="361B5D55" w14:textId="462F12F5" w:rsidR="009D3650" w:rsidRDefault="009D3650" w:rsidP="009D3650">
      <w:pPr>
        <w:pStyle w:val="BodyText"/>
        <w:spacing w:before="1" w:line="360" w:lineRule="auto"/>
        <w:ind w:right="113"/>
      </w:pPr>
      <w:r w:rsidRPr="009D3650">
        <w:t xml:space="preserve">The following table and chart show in greater detail the age breakdown and the respective number of interventions and means. </w:t>
      </w:r>
    </w:p>
    <w:p w14:paraId="16F71873" w14:textId="2071A648" w:rsidR="005B540A" w:rsidRDefault="005B540A" w:rsidP="009D3650">
      <w:pPr>
        <w:pStyle w:val="BodyText"/>
        <w:spacing w:before="1" w:line="360" w:lineRule="auto"/>
        <w:ind w:right="113"/>
      </w:pPr>
    </w:p>
    <w:p w14:paraId="4304DBF7" w14:textId="2C777B55" w:rsidR="005B540A" w:rsidRDefault="005B540A" w:rsidP="009D3650">
      <w:pPr>
        <w:pStyle w:val="BodyText"/>
        <w:spacing w:before="1" w:line="360" w:lineRule="auto"/>
        <w:ind w:right="113"/>
      </w:pPr>
    </w:p>
    <w:p w14:paraId="7EC3353B" w14:textId="21DE11F8" w:rsidR="005B540A" w:rsidRDefault="005B540A" w:rsidP="009D3650">
      <w:pPr>
        <w:pStyle w:val="BodyText"/>
        <w:spacing w:before="1" w:line="360" w:lineRule="auto"/>
        <w:ind w:right="113"/>
      </w:pPr>
    </w:p>
    <w:p w14:paraId="5F64228C" w14:textId="1F8E2B54" w:rsidR="005B540A" w:rsidRDefault="005B540A" w:rsidP="009D3650">
      <w:pPr>
        <w:pStyle w:val="BodyText"/>
        <w:spacing w:before="1" w:line="360" w:lineRule="auto"/>
        <w:ind w:right="113"/>
      </w:pPr>
    </w:p>
    <w:p w14:paraId="2C210085" w14:textId="091DC157" w:rsidR="005B540A" w:rsidRDefault="005B540A" w:rsidP="009D3650">
      <w:pPr>
        <w:pStyle w:val="BodyText"/>
        <w:spacing w:before="1" w:line="360" w:lineRule="auto"/>
        <w:ind w:right="113"/>
      </w:pPr>
    </w:p>
    <w:p w14:paraId="558EE3F9" w14:textId="77777777" w:rsidR="005B540A" w:rsidRDefault="005B540A" w:rsidP="009D3650">
      <w:pPr>
        <w:pStyle w:val="BodyText"/>
        <w:spacing w:before="1" w:line="360" w:lineRule="auto"/>
        <w:ind w:right="113"/>
      </w:pPr>
    </w:p>
    <w:p w14:paraId="6AE6601C" w14:textId="147C19E1" w:rsidR="0004184B" w:rsidRPr="005B540A" w:rsidRDefault="0004184B" w:rsidP="009D3650">
      <w:pPr>
        <w:pStyle w:val="BodyText"/>
        <w:spacing w:before="1" w:line="360" w:lineRule="auto"/>
        <w:ind w:right="113"/>
        <w:rPr>
          <w:rFonts w:eastAsia="Times New Roman"/>
          <w:i/>
          <w:iCs/>
          <w:color w:val="000000"/>
          <w:sz w:val="20"/>
          <w:szCs w:val="20"/>
          <w:lang w:bidi="ar-SA"/>
        </w:rPr>
      </w:pPr>
      <w:r w:rsidRPr="005B540A">
        <w:rPr>
          <w:i/>
          <w:iCs/>
        </w:rPr>
        <w:t xml:space="preserve">Table </w:t>
      </w:r>
      <w:proofErr w:type="gramStart"/>
      <w:r w:rsidRPr="005B540A">
        <w:rPr>
          <w:i/>
          <w:iCs/>
        </w:rPr>
        <w:t>3 :</w:t>
      </w:r>
      <w:proofErr w:type="gramEnd"/>
      <w:r w:rsidRPr="005B540A">
        <w:rPr>
          <w:rFonts w:eastAsia="Times New Roman"/>
          <w:i/>
          <w:iCs/>
          <w:color w:val="000000"/>
          <w:lang w:bidi="ar-SA"/>
        </w:rPr>
        <w:t xml:space="preserve"> </w:t>
      </w:r>
      <w:r w:rsidR="005B540A" w:rsidRPr="005B540A">
        <w:rPr>
          <w:rFonts w:eastAsia="Times New Roman"/>
          <w:i/>
          <w:iCs/>
          <w:color w:val="000000"/>
          <w:lang w:bidi="ar-SA"/>
        </w:rPr>
        <w:t xml:space="preserve">Interventions broken down by age grouping. </w:t>
      </w:r>
    </w:p>
    <w:p w14:paraId="74F8E1ED" w14:textId="77777777" w:rsidR="005B540A" w:rsidRPr="0004184B" w:rsidRDefault="005B540A" w:rsidP="009D3650">
      <w:pPr>
        <w:pStyle w:val="BodyText"/>
        <w:spacing w:before="1" w:line="360" w:lineRule="auto"/>
        <w:ind w:right="113"/>
        <w:rPr>
          <w:rFonts w:asciiTheme="minorHAnsi" w:eastAsia="Times New Roman" w:hAnsiTheme="minorHAnsi" w:cstheme="minorHAnsi"/>
          <w:b/>
          <w:bCs/>
          <w:color w:val="000000"/>
          <w:sz w:val="20"/>
          <w:szCs w:val="20"/>
          <w:lang w:bidi="ar-SA"/>
        </w:rPr>
      </w:pPr>
    </w:p>
    <w:tbl>
      <w:tblPr>
        <w:tblW w:w="88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0"/>
        <w:gridCol w:w="1720"/>
        <w:gridCol w:w="1660"/>
        <w:gridCol w:w="2120"/>
      </w:tblGrid>
      <w:tr w:rsidR="009D3650" w:rsidRPr="00AB460C" w14:paraId="349BE2C0" w14:textId="77777777" w:rsidTr="003C741C">
        <w:trPr>
          <w:trHeight w:val="510"/>
          <w:jc w:val="center"/>
        </w:trPr>
        <w:tc>
          <w:tcPr>
            <w:tcW w:w="3340" w:type="dxa"/>
            <w:shd w:val="clear" w:color="auto" w:fill="95B3D7" w:themeFill="accent1" w:themeFillTint="99"/>
            <w:noWrap/>
            <w:vAlign w:val="center"/>
            <w:hideMark/>
          </w:tcPr>
          <w:p w14:paraId="5167A1A3" w14:textId="77777777" w:rsidR="009D3650" w:rsidRPr="003C741C" w:rsidRDefault="009D3650" w:rsidP="00D4702E">
            <w:pPr>
              <w:widowControl/>
              <w:autoSpaceDE/>
              <w:autoSpaceDN/>
              <w:jc w:val="center"/>
              <w:rPr>
                <w:rFonts w:asciiTheme="minorHAnsi" w:eastAsia="Times New Roman" w:hAnsiTheme="minorHAnsi" w:cstheme="minorHAnsi"/>
                <w:b/>
                <w:bCs/>
                <w:color w:val="000000"/>
                <w:sz w:val="20"/>
                <w:szCs w:val="20"/>
                <w:lang w:bidi="ar-SA"/>
              </w:rPr>
            </w:pPr>
            <w:r w:rsidRPr="003C741C">
              <w:rPr>
                <w:rFonts w:asciiTheme="minorHAnsi" w:eastAsia="Times New Roman" w:hAnsiTheme="minorHAnsi" w:cstheme="minorHAnsi"/>
                <w:b/>
                <w:bCs/>
                <w:color w:val="000000"/>
                <w:sz w:val="20"/>
                <w:szCs w:val="20"/>
                <w:lang w:bidi="ar-SA"/>
              </w:rPr>
              <w:t>Age Band</w:t>
            </w:r>
          </w:p>
        </w:tc>
        <w:tc>
          <w:tcPr>
            <w:tcW w:w="1720" w:type="dxa"/>
            <w:shd w:val="clear" w:color="auto" w:fill="95B3D7" w:themeFill="accent1" w:themeFillTint="99"/>
            <w:vAlign w:val="center"/>
            <w:hideMark/>
          </w:tcPr>
          <w:p w14:paraId="0FB0D0F2" w14:textId="77777777" w:rsidR="009D3650" w:rsidRPr="003C741C" w:rsidRDefault="009D3650" w:rsidP="00D4702E">
            <w:pPr>
              <w:widowControl/>
              <w:autoSpaceDE/>
              <w:autoSpaceDN/>
              <w:jc w:val="center"/>
              <w:rPr>
                <w:rFonts w:asciiTheme="minorHAnsi" w:eastAsia="Times New Roman" w:hAnsiTheme="minorHAnsi" w:cstheme="minorHAnsi"/>
                <w:b/>
                <w:bCs/>
                <w:color w:val="000000"/>
                <w:sz w:val="20"/>
                <w:szCs w:val="20"/>
                <w:lang w:bidi="ar-SA"/>
              </w:rPr>
            </w:pPr>
            <w:r w:rsidRPr="003C741C">
              <w:rPr>
                <w:rFonts w:asciiTheme="minorHAnsi" w:eastAsia="Times New Roman" w:hAnsiTheme="minorHAnsi" w:cstheme="minorHAnsi"/>
                <w:b/>
                <w:bCs/>
                <w:color w:val="000000"/>
                <w:sz w:val="20"/>
                <w:szCs w:val="20"/>
                <w:lang w:bidi="ar-SA"/>
              </w:rPr>
              <w:t>Patients</w:t>
            </w:r>
          </w:p>
        </w:tc>
        <w:tc>
          <w:tcPr>
            <w:tcW w:w="1660" w:type="dxa"/>
            <w:shd w:val="clear" w:color="auto" w:fill="95B3D7" w:themeFill="accent1" w:themeFillTint="99"/>
            <w:vAlign w:val="center"/>
            <w:hideMark/>
          </w:tcPr>
          <w:p w14:paraId="0D4C8884" w14:textId="77777777" w:rsidR="009D3650" w:rsidRPr="003C741C" w:rsidRDefault="009D3650" w:rsidP="00D4702E">
            <w:pPr>
              <w:widowControl/>
              <w:autoSpaceDE/>
              <w:autoSpaceDN/>
              <w:jc w:val="center"/>
              <w:rPr>
                <w:rFonts w:asciiTheme="minorHAnsi" w:eastAsia="Times New Roman" w:hAnsiTheme="minorHAnsi" w:cstheme="minorHAnsi"/>
                <w:b/>
                <w:bCs/>
                <w:color w:val="000000"/>
                <w:sz w:val="20"/>
                <w:szCs w:val="20"/>
                <w:lang w:bidi="ar-SA"/>
              </w:rPr>
            </w:pPr>
            <w:r w:rsidRPr="003C741C">
              <w:rPr>
                <w:rFonts w:asciiTheme="minorHAnsi" w:eastAsia="Times New Roman" w:hAnsiTheme="minorHAnsi" w:cstheme="minorHAnsi"/>
                <w:b/>
                <w:bCs/>
                <w:color w:val="000000"/>
                <w:sz w:val="20"/>
                <w:szCs w:val="20"/>
                <w:lang w:bidi="ar-SA"/>
              </w:rPr>
              <w:t>Interventions</w:t>
            </w:r>
          </w:p>
        </w:tc>
        <w:tc>
          <w:tcPr>
            <w:tcW w:w="2120" w:type="dxa"/>
            <w:shd w:val="clear" w:color="auto" w:fill="95B3D7" w:themeFill="accent1" w:themeFillTint="99"/>
            <w:vAlign w:val="center"/>
            <w:hideMark/>
          </w:tcPr>
          <w:p w14:paraId="4C1DF70F" w14:textId="77777777" w:rsidR="009D3650" w:rsidRPr="003C741C" w:rsidRDefault="009D3650" w:rsidP="00D4702E">
            <w:pPr>
              <w:widowControl/>
              <w:autoSpaceDE/>
              <w:autoSpaceDN/>
              <w:jc w:val="center"/>
              <w:rPr>
                <w:rFonts w:asciiTheme="minorHAnsi" w:eastAsia="Times New Roman" w:hAnsiTheme="minorHAnsi" w:cstheme="minorHAnsi"/>
                <w:b/>
                <w:bCs/>
                <w:color w:val="000000"/>
                <w:sz w:val="20"/>
                <w:szCs w:val="20"/>
                <w:lang w:bidi="ar-SA"/>
              </w:rPr>
            </w:pPr>
            <w:r w:rsidRPr="003C741C">
              <w:rPr>
                <w:rFonts w:asciiTheme="minorHAnsi" w:eastAsia="Times New Roman" w:hAnsiTheme="minorHAnsi" w:cstheme="minorHAnsi"/>
                <w:b/>
                <w:bCs/>
                <w:color w:val="000000"/>
                <w:sz w:val="20"/>
                <w:szCs w:val="20"/>
                <w:lang w:bidi="ar-SA"/>
              </w:rPr>
              <w:t>Mean</w:t>
            </w:r>
          </w:p>
        </w:tc>
      </w:tr>
      <w:tr w:rsidR="009D3650" w:rsidRPr="00AB460C" w14:paraId="2AEA4675" w14:textId="77777777" w:rsidTr="009D3650">
        <w:trPr>
          <w:trHeight w:val="255"/>
          <w:jc w:val="center"/>
        </w:trPr>
        <w:tc>
          <w:tcPr>
            <w:tcW w:w="3340" w:type="dxa"/>
            <w:shd w:val="clear" w:color="auto" w:fill="auto"/>
            <w:noWrap/>
            <w:vAlign w:val="bottom"/>
          </w:tcPr>
          <w:p w14:paraId="5B56B398"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Under 18</w:t>
            </w:r>
          </w:p>
        </w:tc>
        <w:tc>
          <w:tcPr>
            <w:tcW w:w="1720" w:type="dxa"/>
            <w:shd w:val="clear" w:color="auto" w:fill="auto"/>
            <w:noWrap/>
            <w:vAlign w:val="bottom"/>
          </w:tcPr>
          <w:p w14:paraId="2834B1E0"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16716</w:t>
            </w:r>
          </w:p>
        </w:tc>
        <w:tc>
          <w:tcPr>
            <w:tcW w:w="1660" w:type="dxa"/>
            <w:shd w:val="clear" w:color="auto" w:fill="auto"/>
            <w:noWrap/>
            <w:vAlign w:val="bottom"/>
          </w:tcPr>
          <w:p w14:paraId="0898A82F"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154809</w:t>
            </w:r>
          </w:p>
        </w:tc>
        <w:tc>
          <w:tcPr>
            <w:tcW w:w="2120" w:type="dxa"/>
            <w:shd w:val="clear" w:color="auto" w:fill="auto"/>
            <w:noWrap/>
            <w:vAlign w:val="bottom"/>
          </w:tcPr>
          <w:p w14:paraId="6378C354"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9.26</w:t>
            </w:r>
          </w:p>
        </w:tc>
      </w:tr>
      <w:tr w:rsidR="009D3650" w:rsidRPr="00AB460C" w14:paraId="48FC1F44" w14:textId="77777777" w:rsidTr="009D3650">
        <w:trPr>
          <w:trHeight w:val="255"/>
          <w:jc w:val="center"/>
        </w:trPr>
        <w:tc>
          <w:tcPr>
            <w:tcW w:w="3340" w:type="dxa"/>
            <w:shd w:val="clear" w:color="auto" w:fill="auto"/>
            <w:noWrap/>
            <w:vAlign w:val="bottom"/>
          </w:tcPr>
          <w:p w14:paraId="789DC147"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18 - 29</w:t>
            </w:r>
          </w:p>
        </w:tc>
        <w:tc>
          <w:tcPr>
            <w:tcW w:w="1720" w:type="dxa"/>
            <w:shd w:val="clear" w:color="auto" w:fill="auto"/>
            <w:noWrap/>
            <w:vAlign w:val="bottom"/>
          </w:tcPr>
          <w:p w14:paraId="570CCBA2"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16280</w:t>
            </w:r>
          </w:p>
        </w:tc>
        <w:tc>
          <w:tcPr>
            <w:tcW w:w="1660" w:type="dxa"/>
            <w:shd w:val="clear" w:color="auto" w:fill="auto"/>
            <w:noWrap/>
            <w:vAlign w:val="bottom"/>
          </w:tcPr>
          <w:p w14:paraId="20ECF605"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267030</w:t>
            </w:r>
          </w:p>
        </w:tc>
        <w:tc>
          <w:tcPr>
            <w:tcW w:w="2120" w:type="dxa"/>
            <w:shd w:val="clear" w:color="auto" w:fill="auto"/>
            <w:noWrap/>
            <w:vAlign w:val="bottom"/>
          </w:tcPr>
          <w:p w14:paraId="3DA6F46F"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16.40</w:t>
            </w:r>
          </w:p>
        </w:tc>
      </w:tr>
      <w:tr w:rsidR="009D3650" w:rsidRPr="00AB460C" w14:paraId="38257103" w14:textId="77777777" w:rsidTr="009D3650">
        <w:trPr>
          <w:trHeight w:val="255"/>
          <w:jc w:val="center"/>
        </w:trPr>
        <w:tc>
          <w:tcPr>
            <w:tcW w:w="3340" w:type="dxa"/>
            <w:shd w:val="clear" w:color="auto" w:fill="auto"/>
            <w:noWrap/>
            <w:vAlign w:val="bottom"/>
            <w:hideMark/>
          </w:tcPr>
          <w:p w14:paraId="0B483E7C"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30 - 44</w:t>
            </w:r>
          </w:p>
        </w:tc>
        <w:tc>
          <w:tcPr>
            <w:tcW w:w="1720" w:type="dxa"/>
            <w:shd w:val="clear" w:color="auto" w:fill="auto"/>
            <w:noWrap/>
            <w:vAlign w:val="bottom"/>
            <w:hideMark/>
          </w:tcPr>
          <w:p w14:paraId="6D91D929"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15852</w:t>
            </w:r>
          </w:p>
        </w:tc>
        <w:tc>
          <w:tcPr>
            <w:tcW w:w="1660" w:type="dxa"/>
            <w:shd w:val="clear" w:color="auto" w:fill="auto"/>
            <w:noWrap/>
            <w:vAlign w:val="bottom"/>
            <w:hideMark/>
          </w:tcPr>
          <w:p w14:paraId="0F44E9FE"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286164</w:t>
            </w:r>
          </w:p>
        </w:tc>
        <w:tc>
          <w:tcPr>
            <w:tcW w:w="2120" w:type="dxa"/>
            <w:shd w:val="clear" w:color="auto" w:fill="auto"/>
            <w:noWrap/>
            <w:vAlign w:val="bottom"/>
            <w:hideMark/>
          </w:tcPr>
          <w:p w14:paraId="61D15E8F"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18.05</w:t>
            </w:r>
          </w:p>
        </w:tc>
      </w:tr>
      <w:tr w:rsidR="009D3650" w:rsidRPr="00AB460C" w14:paraId="671F0DDC" w14:textId="77777777" w:rsidTr="009D3650">
        <w:trPr>
          <w:trHeight w:val="255"/>
          <w:jc w:val="center"/>
        </w:trPr>
        <w:tc>
          <w:tcPr>
            <w:tcW w:w="3340" w:type="dxa"/>
            <w:shd w:val="clear" w:color="auto" w:fill="auto"/>
            <w:noWrap/>
            <w:vAlign w:val="bottom"/>
            <w:hideMark/>
          </w:tcPr>
          <w:p w14:paraId="0F6D4A7F"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45 - 64</w:t>
            </w:r>
          </w:p>
        </w:tc>
        <w:tc>
          <w:tcPr>
            <w:tcW w:w="1720" w:type="dxa"/>
            <w:shd w:val="clear" w:color="auto" w:fill="auto"/>
            <w:noWrap/>
            <w:vAlign w:val="bottom"/>
            <w:hideMark/>
          </w:tcPr>
          <w:p w14:paraId="6ECFABC5"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13037</w:t>
            </w:r>
          </w:p>
        </w:tc>
        <w:tc>
          <w:tcPr>
            <w:tcW w:w="1660" w:type="dxa"/>
            <w:shd w:val="clear" w:color="auto" w:fill="auto"/>
            <w:noWrap/>
            <w:vAlign w:val="bottom"/>
            <w:hideMark/>
          </w:tcPr>
          <w:p w14:paraId="2FFDA944"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298689</w:t>
            </w:r>
          </w:p>
        </w:tc>
        <w:tc>
          <w:tcPr>
            <w:tcW w:w="2120" w:type="dxa"/>
            <w:shd w:val="clear" w:color="auto" w:fill="auto"/>
            <w:noWrap/>
            <w:vAlign w:val="bottom"/>
            <w:hideMark/>
          </w:tcPr>
          <w:p w14:paraId="3153638E"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22.91</w:t>
            </w:r>
          </w:p>
        </w:tc>
      </w:tr>
      <w:tr w:rsidR="009D3650" w:rsidRPr="00AB460C" w14:paraId="11D8C41C" w14:textId="77777777" w:rsidTr="009D3650">
        <w:trPr>
          <w:trHeight w:val="255"/>
          <w:jc w:val="center"/>
        </w:trPr>
        <w:tc>
          <w:tcPr>
            <w:tcW w:w="3340" w:type="dxa"/>
            <w:shd w:val="clear" w:color="auto" w:fill="auto"/>
            <w:noWrap/>
            <w:vAlign w:val="bottom"/>
            <w:hideMark/>
          </w:tcPr>
          <w:p w14:paraId="2D639182"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65+</w:t>
            </w:r>
          </w:p>
        </w:tc>
        <w:tc>
          <w:tcPr>
            <w:tcW w:w="1720" w:type="dxa"/>
            <w:shd w:val="clear" w:color="auto" w:fill="auto"/>
            <w:noWrap/>
            <w:vAlign w:val="bottom"/>
            <w:hideMark/>
          </w:tcPr>
          <w:p w14:paraId="5FD1E0DF"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15447</w:t>
            </w:r>
          </w:p>
        </w:tc>
        <w:tc>
          <w:tcPr>
            <w:tcW w:w="1660" w:type="dxa"/>
            <w:shd w:val="clear" w:color="auto" w:fill="auto"/>
            <w:noWrap/>
            <w:vAlign w:val="bottom"/>
            <w:hideMark/>
          </w:tcPr>
          <w:p w14:paraId="11ACB124"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427729</w:t>
            </w:r>
          </w:p>
        </w:tc>
        <w:tc>
          <w:tcPr>
            <w:tcW w:w="2120" w:type="dxa"/>
            <w:shd w:val="clear" w:color="auto" w:fill="auto"/>
            <w:noWrap/>
            <w:vAlign w:val="bottom"/>
            <w:hideMark/>
          </w:tcPr>
          <w:p w14:paraId="29147BA9" w14:textId="77777777" w:rsidR="009D3650" w:rsidRPr="003C741C" w:rsidRDefault="009D3650" w:rsidP="00D4702E">
            <w:pPr>
              <w:widowControl/>
              <w:autoSpaceDE/>
              <w:autoSpaceDN/>
              <w:jc w:val="center"/>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27.69</w:t>
            </w:r>
          </w:p>
        </w:tc>
      </w:tr>
      <w:tr w:rsidR="009D3650" w:rsidRPr="00AB460C" w14:paraId="0103C0AF" w14:textId="77777777" w:rsidTr="003C741C">
        <w:trPr>
          <w:trHeight w:val="255"/>
          <w:jc w:val="center"/>
        </w:trPr>
        <w:tc>
          <w:tcPr>
            <w:tcW w:w="3340" w:type="dxa"/>
            <w:shd w:val="clear" w:color="auto" w:fill="95B3D7" w:themeFill="accent1" w:themeFillTint="99"/>
            <w:noWrap/>
            <w:vAlign w:val="bottom"/>
          </w:tcPr>
          <w:p w14:paraId="43E8251D" w14:textId="77777777" w:rsidR="009D3650" w:rsidRPr="003C741C" w:rsidRDefault="009D3650" w:rsidP="00D4702E">
            <w:pPr>
              <w:widowControl/>
              <w:autoSpaceDE/>
              <w:autoSpaceDN/>
              <w:jc w:val="center"/>
              <w:rPr>
                <w:rFonts w:asciiTheme="minorHAnsi" w:eastAsia="Times New Roman" w:hAnsiTheme="minorHAnsi" w:cstheme="minorHAnsi"/>
                <w:b/>
                <w:bCs/>
                <w:color w:val="000000" w:themeColor="text1"/>
                <w:sz w:val="20"/>
                <w:szCs w:val="20"/>
                <w:lang w:bidi="ar-SA"/>
              </w:rPr>
            </w:pPr>
            <w:r w:rsidRPr="003C741C">
              <w:rPr>
                <w:rFonts w:asciiTheme="minorHAnsi" w:eastAsia="Times New Roman" w:hAnsiTheme="minorHAnsi" w:cstheme="minorHAnsi"/>
                <w:b/>
                <w:bCs/>
                <w:color w:val="000000" w:themeColor="text1"/>
                <w:sz w:val="20"/>
                <w:szCs w:val="20"/>
                <w:lang w:bidi="ar-SA"/>
              </w:rPr>
              <w:t>Totals</w:t>
            </w:r>
          </w:p>
        </w:tc>
        <w:tc>
          <w:tcPr>
            <w:tcW w:w="1720" w:type="dxa"/>
            <w:shd w:val="clear" w:color="auto" w:fill="95B3D7" w:themeFill="accent1" w:themeFillTint="99"/>
            <w:noWrap/>
            <w:vAlign w:val="bottom"/>
          </w:tcPr>
          <w:p w14:paraId="3BE49331" w14:textId="77777777" w:rsidR="009D3650" w:rsidRPr="003C741C" w:rsidRDefault="009D3650" w:rsidP="00D4702E">
            <w:pPr>
              <w:widowControl/>
              <w:autoSpaceDE/>
              <w:autoSpaceDN/>
              <w:jc w:val="center"/>
              <w:rPr>
                <w:rFonts w:asciiTheme="minorHAnsi" w:eastAsia="Times New Roman" w:hAnsiTheme="minorHAnsi" w:cstheme="minorHAnsi"/>
                <w:b/>
                <w:bCs/>
                <w:color w:val="000000" w:themeColor="text1"/>
                <w:sz w:val="20"/>
                <w:szCs w:val="20"/>
                <w:lang w:bidi="ar-SA"/>
              </w:rPr>
            </w:pPr>
            <w:r w:rsidRPr="003C741C">
              <w:rPr>
                <w:rFonts w:asciiTheme="minorHAnsi" w:eastAsia="Times New Roman" w:hAnsiTheme="minorHAnsi" w:cstheme="minorHAnsi"/>
                <w:b/>
                <w:bCs/>
                <w:color w:val="000000" w:themeColor="text1"/>
                <w:sz w:val="20"/>
                <w:szCs w:val="20"/>
                <w:lang w:bidi="ar-SA"/>
              </w:rPr>
              <w:t>77332</w:t>
            </w:r>
          </w:p>
        </w:tc>
        <w:tc>
          <w:tcPr>
            <w:tcW w:w="1660" w:type="dxa"/>
            <w:shd w:val="clear" w:color="auto" w:fill="95B3D7" w:themeFill="accent1" w:themeFillTint="99"/>
            <w:noWrap/>
            <w:vAlign w:val="bottom"/>
          </w:tcPr>
          <w:p w14:paraId="4AEF877B" w14:textId="77777777" w:rsidR="009D3650" w:rsidRPr="003C741C" w:rsidRDefault="009D3650" w:rsidP="00D4702E">
            <w:pPr>
              <w:widowControl/>
              <w:autoSpaceDE/>
              <w:autoSpaceDN/>
              <w:jc w:val="center"/>
              <w:rPr>
                <w:rFonts w:asciiTheme="minorHAnsi" w:eastAsia="Times New Roman" w:hAnsiTheme="minorHAnsi" w:cstheme="minorHAnsi"/>
                <w:b/>
                <w:bCs/>
                <w:color w:val="000000" w:themeColor="text1"/>
                <w:sz w:val="20"/>
                <w:szCs w:val="20"/>
                <w:lang w:bidi="ar-SA"/>
              </w:rPr>
            </w:pPr>
            <w:r w:rsidRPr="003C741C">
              <w:rPr>
                <w:rFonts w:asciiTheme="minorHAnsi" w:eastAsia="Times New Roman" w:hAnsiTheme="minorHAnsi" w:cstheme="minorHAnsi"/>
                <w:b/>
                <w:bCs/>
                <w:color w:val="000000" w:themeColor="text1"/>
                <w:sz w:val="20"/>
                <w:szCs w:val="20"/>
                <w:lang w:bidi="ar-SA"/>
              </w:rPr>
              <w:t>1434421</w:t>
            </w:r>
          </w:p>
        </w:tc>
        <w:tc>
          <w:tcPr>
            <w:tcW w:w="2120" w:type="dxa"/>
            <w:shd w:val="clear" w:color="auto" w:fill="95B3D7" w:themeFill="accent1" w:themeFillTint="99"/>
            <w:noWrap/>
            <w:vAlign w:val="bottom"/>
          </w:tcPr>
          <w:p w14:paraId="622D5ADD" w14:textId="77777777" w:rsidR="009D3650" w:rsidRPr="003C741C" w:rsidRDefault="009D3650" w:rsidP="00D4702E">
            <w:pPr>
              <w:widowControl/>
              <w:autoSpaceDE/>
              <w:autoSpaceDN/>
              <w:jc w:val="center"/>
              <w:rPr>
                <w:rFonts w:asciiTheme="minorHAnsi" w:eastAsia="Times New Roman" w:hAnsiTheme="minorHAnsi" w:cstheme="minorHAnsi"/>
                <w:b/>
                <w:bCs/>
                <w:color w:val="000000" w:themeColor="text1"/>
                <w:sz w:val="20"/>
                <w:szCs w:val="20"/>
                <w:lang w:bidi="ar-SA"/>
              </w:rPr>
            </w:pPr>
            <w:r w:rsidRPr="003C741C">
              <w:rPr>
                <w:rFonts w:asciiTheme="minorHAnsi" w:eastAsia="Times New Roman" w:hAnsiTheme="minorHAnsi" w:cstheme="minorHAnsi"/>
                <w:b/>
                <w:bCs/>
                <w:color w:val="000000" w:themeColor="text1"/>
                <w:sz w:val="20"/>
                <w:szCs w:val="20"/>
                <w:lang w:bidi="ar-SA"/>
              </w:rPr>
              <w:t>18.55</w:t>
            </w:r>
          </w:p>
        </w:tc>
      </w:tr>
    </w:tbl>
    <w:p w14:paraId="434C3E9E" w14:textId="79407A7F" w:rsidR="009D3650" w:rsidRDefault="009D3650" w:rsidP="009D3650">
      <w:pPr>
        <w:pStyle w:val="BodyText"/>
        <w:spacing w:before="1" w:line="360" w:lineRule="auto"/>
        <w:ind w:right="113"/>
      </w:pPr>
    </w:p>
    <w:p w14:paraId="39A843A3" w14:textId="3F67ED59" w:rsidR="005B540A" w:rsidRDefault="005B540A" w:rsidP="009D3650">
      <w:pPr>
        <w:pStyle w:val="BodyText"/>
        <w:spacing w:before="1" w:line="360" w:lineRule="auto"/>
        <w:ind w:right="113"/>
        <w:rPr>
          <w:i/>
          <w:iCs/>
        </w:rPr>
      </w:pPr>
      <w:r w:rsidRPr="005B540A">
        <w:rPr>
          <w:i/>
          <w:iCs/>
        </w:rPr>
        <w:t>Graph 4: Mean number of interventions broken down by age groupings.</w:t>
      </w:r>
    </w:p>
    <w:p w14:paraId="11094A00" w14:textId="77777777" w:rsidR="005B540A" w:rsidRPr="005B540A" w:rsidRDefault="005B540A" w:rsidP="009D3650">
      <w:pPr>
        <w:pStyle w:val="BodyText"/>
        <w:spacing w:before="1" w:line="360" w:lineRule="auto"/>
        <w:ind w:right="113"/>
        <w:rPr>
          <w:i/>
          <w:iCs/>
        </w:rPr>
      </w:pPr>
    </w:p>
    <w:p w14:paraId="46B42713" w14:textId="5E1BA943" w:rsidR="009D3650" w:rsidRDefault="009D3650" w:rsidP="009D3650">
      <w:pPr>
        <w:pStyle w:val="BodyText"/>
        <w:spacing w:before="1" w:line="360" w:lineRule="auto"/>
        <w:ind w:right="113"/>
        <w:jc w:val="center"/>
      </w:pPr>
      <w:r>
        <w:rPr>
          <w:noProof/>
        </w:rPr>
        <w:drawing>
          <wp:inline distT="0" distB="0" distL="0" distR="0" wp14:anchorId="6639564A" wp14:editId="40B044C0">
            <wp:extent cx="4377055" cy="2133600"/>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77055" cy="2133600"/>
                    </a:xfrm>
                    <a:prstGeom prst="rect">
                      <a:avLst/>
                    </a:prstGeom>
                    <a:noFill/>
                  </pic:spPr>
                </pic:pic>
              </a:graphicData>
            </a:graphic>
          </wp:inline>
        </w:drawing>
      </w:r>
    </w:p>
    <w:p w14:paraId="5EE5F1F5" w14:textId="368022A4" w:rsidR="009D3650" w:rsidRDefault="009D3650" w:rsidP="009D3650">
      <w:pPr>
        <w:pStyle w:val="BodyText"/>
        <w:spacing w:before="1" w:line="360" w:lineRule="auto"/>
        <w:ind w:right="113"/>
      </w:pPr>
    </w:p>
    <w:p w14:paraId="6CBDB0DD" w14:textId="4436EC78" w:rsidR="009D3650" w:rsidRDefault="009D3650" w:rsidP="009D3650">
      <w:pPr>
        <w:pStyle w:val="BodyText"/>
        <w:spacing w:before="1" w:line="360" w:lineRule="auto"/>
        <w:ind w:right="113"/>
      </w:pPr>
    </w:p>
    <w:p w14:paraId="0A1A9DE0" w14:textId="77777777" w:rsidR="009D3650" w:rsidRDefault="009D3650" w:rsidP="009D3650">
      <w:pPr>
        <w:pStyle w:val="BodyText"/>
        <w:spacing w:before="1" w:line="360" w:lineRule="auto"/>
        <w:ind w:right="113"/>
      </w:pPr>
    </w:p>
    <w:p w14:paraId="3A20932D" w14:textId="77777777" w:rsidR="009D3650" w:rsidRDefault="009D3650">
      <w:pPr>
        <w:spacing w:line="360" w:lineRule="auto"/>
      </w:pPr>
    </w:p>
    <w:p w14:paraId="01A5DFC6" w14:textId="485B6F64" w:rsidR="009D3650" w:rsidRDefault="009D3650">
      <w:pPr>
        <w:spacing w:line="360" w:lineRule="auto"/>
        <w:sectPr w:rsidR="009D3650">
          <w:pgSz w:w="11910" w:h="16840"/>
          <w:pgMar w:top="1720" w:right="1320" w:bottom="1200" w:left="1320" w:header="708" w:footer="920" w:gutter="0"/>
          <w:cols w:space="720"/>
        </w:sectPr>
      </w:pPr>
    </w:p>
    <w:p w14:paraId="460D1C7A" w14:textId="77777777" w:rsidR="008A4C65" w:rsidRDefault="008A4C65">
      <w:pPr>
        <w:pStyle w:val="BodyText"/>
        <w:spacing w:before="3"/>
        <w:rPr>
          <w:u w:val="single"/>
        </w:rPr>
      </w:pPr>
      <w:bookmarkStart w:id="7" w:name="_bookmark5"/>
      <w:bookmarkEnd w:id="7"/>
    </w:p>
    <w:p w14:paraId="5386566B" w14:textId="000A4C97" w:rsidR="00AB3ABB" w:rsidRDefault="0017742F">
      <w:pPr>
        <w:pStyle w:val="BodyText"/>
        <w:spacing w:before="3"/>
        <w:rPr>
          <w:u w:val="single"/>
        </w:rPr>
      </w:pPr>
      <w:r>
        <w:rPr>
          <w:u w:val="single"/>
        </w:rPr>
        <w:t>Referrals to Inpatient Services and Length of Stay</w:t>
      </w:r>
    </w:p>
    <w:p w14:paraId="2628EF49" w14:textId="77777777" w:rsidR="008A4C65" w:rsidRDefault="008A4C65">
      <w:pPr>
        <w:pStyle w:val="BodyText"/>
        <w:spacing w:before="3"/>
      </w:pPr>
    </w:p>
    <w:p w14:paraId="3A43486A" w14:textId="3C3D3F62" w:rsidR="003C3C8B" w:rsidRDefault="0017742F" w:rsidP="003C3C8B">
      <w:pPr>
        <w:widowControl/>
        <w:adjustRightInd w:val="0"/>
        <w:spacing w:line="360" w:lineRule="auto"/>
        <w:ind w:left="142"/>
        <w:rPr>
          <w:rFonts w:eastAsiaTheme="minorHAnsi"/>
          <w:color w:val="000000"/>
          <w:lang w:eastAsia="en-US" w:bidi="ar-SA"/>
        </w:rPr>
      </w:pPr>
      <w:r>
        <w:rPr>
          <w:color w:val="5A5A5A"/>
        </w:rPr>
        <w:t xml:space="preserve">Data: </w:t>
      </w:r>
      <w:r w:rsidR="003C3C8B" w:rsidRPr="00C64A01">
        <w:rPr>
          <w:rFonts w:eastAsiaTheme="minorHAnsi"/>
          <w:color w:val="000000"/>
          <w:lang w:eastAsia="en-US" w:bidi="ar-SA"/>
        </w:rPr>
        <w:t xml:space="preserve">To evaluate differences within use of inpatient services, an extract containing all referrals into inpatient wards from 1st January 2022 to 31st December 2022 was created with duplicates on patient ID removed from the dataset. Alongside this, a second extract was developed that contained all patients discharged from inpatient services between 1st Jan 21 and 31st December 21 </w:t>
      </w:r>
      <w:proofErr w:type="gramStart"/>
      <w:r w:rsidR="003C3C8B" w:rsidRPr="00C64A01">
        <w:rPr>
          <w:rFonts w:eastAsiaTheme="minorHAnsi"/>
          <w:color w:val="000000"/>
          <w:lang w:eastAsia="en-US" w:bidi="ar-SA"/>
        </w:rPr>
        <w:t>in order to</w:t>
      </w:r>
      <w:proofErr w:type="gramEnd"/>
      <w:r w:rsidR="003C3C8B" w:rsidRPr="00C64A01">
        <w:rPr>
          <w:rFonts w:eastAsiaTheme="minorHAnsi"/>
          <w:color w:val="000000"/>
          <w:lang w:eastAsia="en-US" w:bidi="ar-SA"/>
        </w:rPr>
        <w:t xml:space="preserve"> facilitate an analysis of length of stay.</w:t>
      </w:r>
    </w:p>
    <w:p w14:paraId="14B57822" w14:textId="77777777" w:rsidR="003C3C8B" w:rsidRPr="00C64A01" w:rsidRDefault="003C3C8B" w:rsidP="003C3C8B">
      <w:pPr>
        <w:widowControl/>
        <w:adjustRightInd w:val="0"/>
        <w:spacing w:line="360" w:lineRule="auto"/>
        <w:ind w:left="142"/>
        <w:rPr>
          <w:rFonts w:eastAsiaTheme="minorHAnsi"/>
          <w:color w:val="000000"/>
          <w:lang w:eastAsia="en-US" w:bidi="ar-SA"/>
        </w:rPr>
      </w:pPr>
    </w:p>
    <w:p w14:paraId="598DA58A" w14:textId="1F66B1FE" w:rsidR="003C3C8B" w:rsidRDefault="0017742F" w:rsidP="004B4803">
      <w:pPr>
        <w:pStyle w:val="BodyText"/>
        <w:spacing w:before="18" w:line="357" w:lineRule="auto"/>
        <w:ind w:right="116"/>
      </w:pPr>
      <w:r>
        <w:rPr>
          <w:color w:val="5A5A5A"/>
          <w:spacing w:val="12"/>
        </w:rPr>
        <w:t xml:space="preserve">Analysis: </w:t>
      </w:r>
      <w:r>
        <w:t>Descriptive statistics and analysis of variance were utilised to assess any differences</w:t>
      </w:r>
      <w:r>
        <w:rPr>
          <w:spacing w:val="-12"/>
        </w:rPr>
        <w:t xml:space="preserve"> </w:t>
      </w:r>
      <w:r>
        <w:t>between</w:t>
      </w:r>
      <w:r>
        <w:rPr>
          <w:spacing w:val="-11"/>
        </w:rPr>
        <w:t xml:space="preserve"> </w:t>
      </w:r>
      <w:r>
        <w:t>and</w:t>
      </w:r>
      <w:r>
        <w:rPr>
          <w:spacing w:val="-16"/>
        </w:rPr>
        <w:t xml:space="preserve"> </w:t>
      </w:r>
      <w:r>
        <w:t>within</w:t>
      </w:r>
      <w:r>
        <w:rPr>
          <w:spacing w:val="-11"/>
        </w:rPr>
        <w:t xml:space="preserve"> </w:t>
      </w:r>
      <w:r>
        <w:t>protected</w:t>
      </w:r>
      <w:r>
        <w:rPr>
          <w:spacing w:val="-14"/>
        </w:rPr>
        <w:t xml:space="preserve"> </w:t>
      </w:r>
      <w:r>
        <w:t>characteristics</w:t>
      </w:r>
      <w:r>
        <w:rPr>
          <w:spacing w:val="-11"/>
        </w:rPr>
        <w:t xml:space="preserve"> </w:t>
      </w:r>
      <w:r>
        <w:t>in</w:t>
      </w:r>
      <w:r>
        <w:rPr>
          <w:spacing w:val="-14"/>
        </w:rPr>
        <w:t xml:space="preserve"> </w:t>
      </w:r>
      <w:r>
        <w:t>relation</w:t>
      </w:r>
      <w:r>
        <w:rPr>
          <w:spacing w:val="-12"/>
        </w:rPr>
        <w:t xml:space="preserve"> </w:t>
      </w:r>
      <w:r>
        <w:t>to</w:t>
      </w:r>
      <w:r>
        <w:rPr>
          <w:spacing w:val="-14"/>
        </w:rPr>
        <w:t xml:space="preserve"> </w:t>
      </w:r>
      <w:r>
        <w:t>use</w:t>
      </w:r>
      <w:r>
        <w:rPr>
          <w:spacing w:val="-14"/>
        </w:rPr>
        <w:t xml:space="preserve"> </w:t>
      </w:r>
      <w:r>
        <w:t>of</w:t>
      </w:r>
      <w:r>
        <w:rPr>
          <w:spacing w:val="-12"/>
        </w:rPr>
        <w:t xml:space="preserve"> </w:t>
      </w:r>
      <w:r>
        <w:t>inpatient</w:t>
      </w:r>
      <w:r>
        <w:rPr>
          <w:spacing w:val="-13"/>
        </w:rPr>
        <w:t xml:space="preserve"> </w:t>
      </w:r>
      <w:r>
        <w:t>services and</w:t>
      </w:r>
      <w:r>
        <w:rPr>
          <w:spacing w:val="-10"/>
        </w:rPr>
        <w:t xml:space="preserve"> </w:t>
      </w:r>
      <w:r>
        <w:t>length</w:t>
      </w:r>
      <w:r>
        <w:rPr>
          <w:spacing w:val="-11"/>
        </w:rPr>
        <w:t xml:space="preserve"> </w:t>
      </w:r>
      <w:r>
        <w:t>of</w:t>
      </w:r>
      <w:r>
        <w:rPr>
          <w:spacing w:val="-11"/>
        </w:rPr>
        <w:t xml:space="preserve"> </w:t>
      </w:r>
      <w:r>
        <w:t>stay.</w:t>
      </w:r>
      <w:r>
        <w:rPr>
          <w:spacing w:val="-8"/>
        </w:rPr>
        <w:t xml:space="preserve"> </w:t>
      </w:r>
      <w:r>
        <w:t>All</w:t>
      </w:r>
      <w:r>
        <w:rPr>
          <w:spacing w:val="-10"/>
        </w:rPr>
        <w:t xml:space="preserve"> </w:t>
      </w:r>
      <w:r>
        <w:t>statistical</w:t>
      </w:r>
      <w:r>
        <w:rPr>
          <w:spacing w:val="-11"/>
        </w:rPr>
        <w:t xml:space="preserve"> </w:t>
      </w:r>
      <w:r>
        <w:t>significance</w:t>
      </w:r>
      <w:r>
        <w:rPr>
          <w:spacing w:val="-11"/>
        </w:rPr>
        <w:t xml:space="preserve"> </w:t>
      </w:r>
      <w:r>
        <w:t>testing</w:t>
      </w:r>
      <w:r>
        <w:rPr>
          <w:spacing w:val="-10"/>
        </w:rPr>
        <w:t xml:space="preserve"> </w:t>
      </w:r>
      <w:r>
        <w:t>was</w:t>
      </w:r>
      <w:r>
        <w:rPr>
          <w:spacing w:val="-11"/>
        </w:rPr>
        <w:t xml:space="preserve"> </w:t>
      </w:r>
      <w:r>
        <w:t>derived</w:t>
      </w:r>
      <w:r>
        <w:rPr>
          <w:spacing w:val="-12"/>
        </w:rPr>
        <w:t xml:space="preserve"> </w:t>
      </w:r>
      <w:r>
        <w:t>using</w:t>
      </w:r>
      <w:r>
        <w:rPr>
          <w:spacing w:val="-10"/>
        </w:rPr>
        <w:t xml:space="preserve"> </w:t>
      </w:r>
      <w:r>
        <w:t>a</w:t>
      </w:r>
      <w:r>
        <w:rPr>
          <w:spacing w:val="-11"/>
        </w:rPr>
        <w:t xml:space="preserve"> </w:t>
      </w:r>
      <w:r>
        <w:t>95%</w:t>
      </w:r>
      <w:r>
        <w:rPr>
          <w:spacing w:val="-9"/>
        </w:rPr>
        <w:t xml:space="preserve"> </w:t>
      </w:r>
      <w:r>
        <w:t>confidence</w:t>
      </w:r>
      <w:r>
        <w:rPr>
          <w:spacing w:val="-12"/>
        </w:rPr>
        <w:t xml:space="preserve"> </w:t>
      </w:r>
      <w:r>
        <w:t>limit.</w:t>
      </w:r>
    </w:p>
    <w:p w14:paraId="626C1366" w14:textId="77777777" w:rsidR="00AB3ABB" w:rsidRDefault="0017742F">
      <w:pPr>
        <w:pStyle w:val="BodyText"/>
        <w:spacing w:before="161"/>
      </w:pPr>
      <w:r>
        <w:rPr>
          <w:color w:val="5A5A5A"/>
        </w:rPr>
        <w:t>Results:</w:t>
      </w:r>
    </w:p>
    <w:p w14:paraId="67312BD6" w14:textId="77777777" w:rsidR="00AB3ABB" w:rsidRDefault="0017742F">
      <w:pPr>
        <w:pStyle w:val="BodyText"/>
        <w:spacing w:before="179"/>
      </w:pPr>
      <w:r>
        <w:rPr>
          <w:color w:val="5A5A5A"/>
        </w:rPr>
        <w:t>Ethnicity:</w:t>
      </w:r>
    </w:p>
    <w:p w14:paraId="3A77E974" w14:textId="4756CA7E" w:rsidR="008A4C65" w:rsidRPr="004B4803" w:rsidRDefault="008A4C65" w:rsidP="004B4803">
      <w:pPr>
        <w:spacing w:before="184" w:line="360" w:lineRule="auto"/>
        <w:ind w:left="142"/>
        <w:jc w:val="both"/>
        <w:rPr>
          <w:i/>
        </w:rPr>
      </w:pPr>
      <w:r w:rsidRPr="00C64A01">
        <w:rPr>
          <w:i/>
          <w:color w:val="404040"/>
        </w:rPr>
        <w:t>Referral to Inpatient Services:</w:t>
      </w:r>
    </w:p>
    <w:p w14:paraId="2543DB49" w14:textId="77777777" w:rsidR="008A4C65" w:rsidRPr="00C64A01" w:rsidRDefault="008A4C65" w:rsidP="008A4C65">
      <w:pPr>
        <w:pStyle w:val="BodyText"/>
        <w:spacing w:line="360" w:lineRule="auto"/>
        <w:ind w:left="142" w:right="116"/>
      </w:pPr>
      <w:r w:rsidRPr="00C64A01">
        <w:t xml:space="preserve">In total, 2741 patients were referred to inpatient services within the reporting period. Of those admitted 85.4% were White – British (N=2342). 8.46% had no ethnicity recorded, 6% were made up of the following (Asian/Asian British Pakistani (0.51%), Black/Black British African (0.51%), Other ethnic group (0.47%), White – other (1.86%), Mixed – White/Black Caribbean (0.36%), White – Irish (0.29%)). </w:t>
      </w:r>
    </w:p>
    <w:p w14:paraId="3A971142" w14:textId="649F1E35" w:rsidR="008A4C65" w:rsidRPr="004B4803" w:rsidRDefault="008A4C65" w:rsidP="004B4803">
      <w:pPr>
        <w:spacing w:before="163" w:line="360" w:lineRule="auto"/>
        <w:ind w:left="142"/>
        <w:jc w:val="both"/>
        <w:rPr>
          <w:i/>
        </w:rPr>
      </w:pPr>
      <w:r w:rsidRPr="00C64A01">
        <w:rPr>
          <w:i/>
          <w:color w:val="404040"/>
        </w:rPr>
        <w:t>Length of Stay:</w:t>
      </w:r>
    </w:p>
    <w:p w14:paraId="507DE917" w14:textId="2C688D3C" w:rsidR="008A4C65" w:rsidRDefault="00824D98" w:rsidP="008A4C65">
      <w:pPr>
        <w:pStyle w:val="BodyText"/>
        <w:spacing w:before="3" w:line="360" w:lineRule="auto"/>
        <w:ind w:left="142"/>
      </w:pPr>
      <w:r>
        <w:t xml:space="preserve">A statistically significant difference was detected between the White British group (N= 4300, Mean = 44, IQR = 35) and the Asian British Pakistani group (N= 63, Mean= 15). </w:t>
      </w:r>
      <w:r w:rsidR="008A4C65" w:rsidRPr="00C64A01">
        <w:t xml:space="preserve">The longest average length of stay related to those who declined to disclose their ethnicity (Mean = 247), the Mixed – White/Black African (Mean = 179), Black/Black British African (Mean = 167). </w:t>
      </w:r>
    </w:p>
    <w:p w14:paraId="41FF0938" w14:textId="1C8E7916" w:rsidR="005B540A" w:rsidRDefault="005B540A" w:rsidP="008A4C65">
      <w:pPr>
        <w:pStyle w:val="BodyText"/>
        <w:spacing w:before="3" w:line="360" w:lineRule="auto"/>
        <w:ind w:left="142"/>
      </w:pPr>
      <w:r>
        <w:t>Shown below is a graph which indicated the number of patients admitted broken down by Ethnicity, it also shows the length of stay.</w:t>
      </w:r>
    </w:p>
    <w:p w14:paraId="20C80182" w14:textId="33EE9AC4" w:rsidR="005B540A" w:rsidRDefault="005B540A" w:rsidP="008A4C65">
      <w:pPr>
        <w:pStyle w:val="BodyText"/>
        <w:spacing w:before="3" w:line="360" w:lineRule="auto"/>
        <w:ind w:left="142"/>
      </w:pPr>
    </w:p>
    <w:p w14:paraId="63B41011" w14:textId="0DD9453B" w:rsidR="005B540A" w:rsidRDefault="005B540A" w:rsidP="008A4C65">
      <w:pPr>
        <w:pStyle w:val="BodyText"/>
        <w:spacing w:before="3" w:line="360" w:lineRule="auto"/>
        <w:ind w:left="142"/>
      </w:pPr>
    </w:p>
    <w:p w14:paraId="63418EDF" w14:textId="6512E1D1" w:rsidR="005B540A" w:rsidRDefault="005B540A" w:rsidP="008A4C65">
      <w:pPr>
        <w:pStyle w:val="BodyText"/>
        <w:spacing w:before="3" w:line="360" w:lineRule="auto"/>
        <w:ind w:left="142"/>
      </w:pPr>
    </w:p>
    <w:p w14:paraId="206E02D8" w14:textId="376FCBDF" w:rsidR="005B540A" w:rsidRDefault="005B540A" w:rsidP="008A4C65">
      <w:pPr>
        <w:pStyle w:val="BodyText"/>
        <w:spacing w:before="3" w:line="360" w:lineRule="auto"/>
        <w:ind w:left="142"/>
      </w:pPr>
    </w:p>
    <w:p w14:paraId="56ECF4B7" w14:textId="5B74EDFD" w:rsidR="005B540A" w:rsidRDefault="005B540A" w:rsidP="008A4C65">
      <w:pPr>
        <w:pStyle w:val="BodyText"/>
        <w:spacing w:before="3" w:line="360" w:lineRule="auto"/>
        <w:ind w:left="142"/>
      </w:pPr>
    </w:p>
    <w:p w14:paraId="2FDAF720" w14:textId="7E4755E5" w:rsidR="005B540A" w:rsidRDefault="005B540A" w:rsidP="008A4C65">
      <w:pPr>
        <w:pStyle w:val="BodyText"/>
        <w:spacing w:before="3" w:line="360" w:lineRule="auto"/>
        <w:ind w:left="142"/>
      </w:pPr>
    </w:p>
    <w:p w14:paraId="11B73924" w14:textId="3D17D2CD" w:rsidR="005B540A" w:rsidRDefault="005B540A" w:rsidP="008A4C65">
      <w:pPr>
        <w:pStyle w:val="BodyText"/>
        <w:spacing w:before="3" w:line="360" w:lineRule="auto"/>
        <w:ind w:left="142"/>
      </w:pPr>
    </w:p>
    <w:p w14:paraId="55FEC934" w14:textId="2A79BBB7" w:rsidR="005B540A" w:rsidRDefault="005B540A" w:rsidP="008A4C65">
      <w:pPr>
        <w:pStyle w:val="BodyText"/>
        <w:spacing w:before="3" w:line="360" w:lineRule="auto"/>
        <w:ind w:left="142"/>
      </w:pPr>
    </w:p>
    <w:p w14:paraId="1B231D92" w14:textId="2D322575" w:rsidR="005B540A" w:rsidRDefault="005B540A" w:rsidP="008A4C65">
      <w:pPr>
        <w:pStyle w:val="BodyText"/>
        <w:spacing w:before="3" w:line="360" w:lineRule="auto"/>
        <w:ind w:left="142"/>
      </w:pPr>
    </w:p>
    <w:p w14:paraId="77D3D4EA" w14:textId="1CF36044" w:rsidR="005B540A" w:rsidRPr="005B540A" w:rsidRDefault="005B540A" w:rsidP="008A4C65">
      <w:pPr>
        <w:pStyle w:val="BodyText"/>
        <w:spacing w:before="3" w:line="360" w:lineRule="auto"/>
        <w:ind w:left="142"/>
        <w:rPr>
          <w:i/>
          <w:iCs/>
        </w:rPr>
      </w:pPr>
      <w:r w:rsidRPr="005B540A">
        <w:rPr>
          <w:i/>
          <w:iCs/>
        </w:rPr>
        <w:t>Graph 5: Patients admitted to an inpatient ward and their length of stay broken down by Ethnicity.</w:t>
      </w:r>
    </w:p>
    <w:p w14:paraId="409C24BF" w14:textId="77777777" w:rsidR="005B540A" w:rsidRDefault="005B540A" w:rsidP="008A4C65">
      <w:pPr>
        <w:pStyle w:val="BodyText"/>
        <w:spacing w:before="3" w:line="360" w:lineRule="auto"/>
        <w:ind w:left="142"/>
      </w:pPr>
    </w:p>
    <w:p w14:paraId="6767D6E7" w14:textId="1A99BE45" w:rsidR="005D3E45" w:rsidRPr="00C64A01" w:rsidRDefault="005D3E45" w:rsidP="008A4C65">
      <w:pPr>
        <w:pStyle w:val="BodyText"/>
        <w:spacing w:before="3" w:line="360" w:lineRule="auto"/>
        <w:ind w:left="142"/>
      </w:pPr>
      <w:r>
        <w:rPr>
          <w:noProof/>
        </w:rPr>
        <w:drawing>
          <wp:inline distT="0" distB="0" distL="0" distR="0" wp14:anchorId="17252706" wp14:editId="76DD113E">
            <wp:extent cx="6019800" cy="2838450"/>
            <wp:effectExtent l="0" t="0" r="0" b="0"/>
            <wp:docPr id="18" name="Chart 18">
              <a:extLst xmlns:a="http://schemas.openxmlformats.org/drawingml/2006/main">
                <a:ext uri="{FF2B5EF4-FFF2-40B4-BE49-F238E27FC236}">
                  <a16:creationId xmlns:a16="http://schemas.microsoft.com/office/drawing/2014/main" id="{8AE70CEE-2EAB-548C-BABA-CE24EAC7E9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5DA9B47C" w14:textId="77777777" w:rsidR="008A4C65" w:rsidRPr="00C64A01" w:rsidRDefault="008A4C65" w:rsidP="004B4803">
      <w:pPr>
        <w:pStyle w:val="BodyText"/>
        <w:spacing w:before="9" w:line="360" w:lineRule="auto"/>
        <w:ind w:left="0"/>
        <w:jc w:val="left"/>
      </w:pPr>
    </w:p>
    <w:p w14:paraId="527DE505" w14:textId="77777777" w:rsidR="008A4C65" w:rsidRPr="00C64A01" w:rsidRDefault="008A4C65" w:rsidP="008A4C65">
      <w:pPr>
        <w:pStyle w:val="BodyText"/>
        <w:spacing w:line="360" w:lineRule="auto"/>
        <w:ind w:left="142"/>
      </w:pPr>
      <w:r w:rsidRPr="00C64A01">
        <w:rPr>
          <w:color w:val="5A5A5A"/>
        </w:rPr>
        <w:t>Marital Status:</w:t>
      </w:r>
    </w:p>
    <w:p w14:paraId="043DD1A6" w14:textId="67A32B8C" w:rsidR="008A4C65" w:rsidRPr="004B4803" w:rsidRDefault="008A4C65" w:rsidP="004B4803">
      <w:pPr>
        <w:spacing w:before="181" w:line="360" w:lineRule="auto"/>
        <w:ind w:left="142"/>
        <w:jc w:val="both"/>
        <w:rPr>
          <w:i/>
        </w:rPr>
      </w:pPr>
      <w:r w:rsidRPr="00C64A01">
        <w:rPr>
          <w:i/>
          <w:color w:val="404040"/>
        </w:rPr>
        <w:t>Referral to Inpatient Services:</w:t>
      </w:r>
    </w:p>
    <w:p w14:paraId="52A0831A" w14:textId="77777777" w:rsidR="008A4C65" w:rsidRPr="00C64A01" w:rsidRDefault="008A4C65" w:rsidP="008A4C65">
      <w:pPr>
        <w:pStyle w:val="BodyText"/>
        <w:spacing w:line="360" w:lineRule="auto"/>
        <w:ind w:left="142" w:right="117"/>
      </w:pPr>
      <w:r w:rsidRPr="00C64A01">
        <w:t xml:space="preserve">The group with the highest proportion of referrals to inpatient services related to the patients identifying themselves as single (44%), followed by patients who did not disclose their marital status (20.6%). This has changed from the previous </w:t>
      </w:r>
      <w:proofErr w:type="spellStart"/>
      <w:r w:rsidRPr="00C64A01">
        <w:t>years</w:t>
      </w:r>
      <w:proofErr w:type="spellEnd"/>
      <w:r w:rsidRPr="00C64A01">
        <w:t xml:space="preserve"> data which found those who identified themselves as being married/civil partner following those who are single. Although those who identified themselves as being married/civil partner fell within the count of patient ID, their % make up increased by 3.06%, accounting for 18.06% of patients admitted to inpatient wards. The groups with the smallest proportion of inpatient referrals were separated (2.55%), in a relationship (2.74%), living with a partner (2.88%). </w:t>
      </w:r>
    </w:p>
    <w:p w14:paraId="72D26651" w14:textId="77777777" w:rsidR="008A4C65" w:rsidRPr="00C64A01" w:rsidRDefault="008A4C65" w:rsidP="008A4C65">
      <w:pPr>
        <w:spacing w:before="162" w:line="360" w:lineRule="auto"/>
        <w:ind w:left="142"/>
        <w:jc w:val="both"/>
      </w:pPr>
      <w:r w:rsidRPr="00C64A01">
        <w:rPr>
          <w:i/>
          <w:color w:val="404040"/>
        </w:rPr>
        <w:t>Length of Stay:</w:t>
      </w:r>
    </w:p>
    <w:p w14:paraId="0CAC2485" w14:textId="19EB7BB3" w:rsidR="008A4C65" w:rsidRDefault="008A4C65" w:rsidP="008A4C65">
      <w:pPr>
        <w:pStyle w:val="BodyText"/>
        <w:spacing w:before="1" w:line="360" w:lineRule="auto"/>
        <w:ind w:left="142" w:right="119"/>
      </w:pPr>
      <w:r w:rsidRPr="00C64A01">
        <w:t>There are some differences which have been observed throughout the data in relation to marital status and length of stay. With those recorded as Surviving Partner/Widowed (Mean = 77</w:t>
      </w:r>
      <w:r w:rsidR="00660504">
        <w:t>, IQR= 65</w:t>
      </w:r>
      <w:r w:rsidRPr="00C64A01">
        <w:t xml:space="preserve">) this has increased since last </w:t>
      </w:r>
      <w:proofErr w:type="spellStart"/>
      <w:r w:rsidRPr="00C64A01">
        <w:t>years</w:t>
      </w:r>
      <w:proofErr w:type="spellEnd"/>
      <w:r w:rsidRPr="00C64A01">
        <w:t xml:space="preserve"> report however Surviving Partner/Widowed remains the marital status with the highest average length of stay</w:t>
      </w:r>
      <w:r w:rsidR="00660504">
        <w:t>, a length of stay statistically higher than other groups.</w:t>
      </w:r>
      <w:r w:rsidRPr="00C64A01">
        <w:t xml:space="preserve"> They continue to have statistically higher lengths of stay compared to those In a Relationship (Mean = 21</w:t>
      </w:r>
      <w:r w:rsidR="00660504">
        <w:t>, IQR= 16</w:t>
      </w:r>
      <w:r w:rsidRPr="00C64A01">
        <w:t>), Living with a partner (Mean = 32</w:t>
      </w:r>
      <w:r w:rsidR="00660504">
        <w:t>, IQR= 35</w:t>
      </w:r>
      <w:r w:rsidRPr="00C64A01">
        <w:t>) and Single (Mean = 34</w:t>
      </w:r>
      <w:r w:rsidR="00660504">
        <w:t>, IQR- 28</w:t>
      </w:r>
      <w:r w:rsidRPr="00C64A01">
        <w:t xml:space="preserve">). </w:t>
      </w:r>
    </w:p>
    <w:p w14:paraId="79F54562" w14:textId="29D81993" w:rsidR="005B540A" w:rsidRDefault="005B540A" w:rsidP="008A4C65">
      <w:pPr>
        <w:pStyle w:val="BodyText"/>
        <w:spacing w:before="1" w:line="360" w:lineRule="auto"/>
        <w:ind w:left="142" w:right="119"/>
      </w:pPr>
    </w:p>
    <w:p w14:paraId="6259EFDF" w14:textId="21117FD3" w:rsidR="005B540A" w:rsidRDefault="005B540A" w:rsidP="008A4C65">
      <w:pPr>
        <w:pStyle w:val="BodyText"/>
        <w:spacing w:before="1" w:line="360" w:lineRule="auto"/>
        <w:ind w:left="142" w:right="119"/>
        <w:rPr>
          <w:i/>
          <w:iCs/>
        </w:rPr>
      </w:pPr>
      <w:r w:rsidRPr="005B540A">
        <w:rPr>
          <w:i/>
          <w:iCs/>
        </w:rPr>
        <w:t>Graph 6:</w:t>
      </w:r>
      <w:r>
        <w:rPr>
          <w:i/>
          <w:iCs/>
        </w:rPr>
        <w:t xml:space="preserve"> Patients admitted to inpatient wards and length of stay broken down by marital status</w:t>
      </w:r>
    </w:p>
    <w:p w14:paraId="37618012" w14:textId="77777777" w:rsidR="005B540A" w:rsidRPr="005B540A" w:rsidRDefault="005B540A" w:rsidP="008A4C65">
      <w:pPr>
        <w:pStyle w:val="BodyText"/>
        <w:spacing w:before="1" w:line="360" w:lineRule="auto"/>
        <w:ind w:left="142" w:right="119"/>
        <w:rPr>
          <w:i/>
          <w:iCs/>
        </w:rPr>
      </w:pPr>
    </w:p>
    <w:p w14:paraId="39AE565C" w14:textId="6D04C730" w:rsidR="005D3E45" w:rsidRDefault="005D3E45" w:rsidP="008A4C65">
      <w:pPr>
        <w:pStyle w:val="BodyText"/>
        <w:spacing w:before="1" w:line="360" w:lineRule="auto"/>
        <w:ind w:left="142" w:right="119"/>
      </w:pPr>
      <w:r>
        <w:rPr>
          <w:noProof/>
        </w:rPr>
        <w:drawing>
          <wp:inline distT="0" distB="0" distL="0" distR="0" wp14:anchorId="5982C294" wp14:editId="086F9A8F">
            <wp:extent cx="5407025" cy="3267075"/>
            <wp:effectExtent l="0" t="0" r="3175" b="9525"/>
            <wp:docPr id="17" name="Chart 17">
              <a:extLst xmlns:a="http://schemas.openxmlformats.org/drawingml/2006/main">
                <a:ext uri="{FF2B5EF4-FFF2-40B4-BE49-F238E27FC236}">
                  <a16:creationId xmlns:a16="http://schemas.microsoft.com/office/drawing/2014/main" id="{2E75BBFE-66B6-E644-D73E-44904B77CA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9563563" w14:textId="064F0ADA" w:rsidR="005D3E45" w:rsidRDefault="005D3E45" w:rsidP="005D3E45">
      <w:pPr>
        <w:pStyle w:val="BodyText"/>
        <w:spacing w:before="1" w:line="360" w:lineRule="auto"/>
        <w:ind w:left="142" w:right="119"/>
      </w:pPr>
    </w:p>
    <w:p w14:paraId="21600984" w14:textId="5D5E347A" w:rsidR="005B540A" w:rsidRPr="005B540A" w:rsidRDefault="005B540A" w:rsidP="005D3E45">
      <w:pPr>
        <w:pStyle w:val="BodyText"/>
        <w:spacing w:before="1" w:line="360" w:lineRule="auto"/>
        <w:ind w:left="142" w:right="119"/>
        <w:rPr>
          <w:i/>
          <w:iCs/>
        </w:rPr>
      </w:pPr>
      <w:r w:rsidRPr="005B540A">
        <w:rPr>
          <w:i/>
          <w:iCs/>
        </w:rPr>
        <w:t>Table 4: Patients admitted to inpatient wards and the average length of stay broken down by marital status.</w:t>
      </w:r>
    </w:p>
    <w:p w14:paraId="319A44D2" w14:textId="77777777" w:rsidR="005B540A" w:rsidRDefault="005B540A" w:rsidP="005D3E45">
      <w:pPr>
        <w:pStyle w:val="BodyText"/>
        <w:spacing w:before="1" w:line="360" w:lineRule="auto"/>
        <w:ind w:left="142" w:right="119"/>
      </w:pPr>
    </w:p>
    <w:tbl>
      <w:tblPr>
        <w:tblW w:w="8440" w:type="dxa"/>
        <w:tblLook w:val="04A0" w:firstRow="1" w:lastRow="0" w:firstColumn="1" w:lastColumn="0" w:noHBand="0" w:noVBand="1"/>
      </w:tblPr>
      <w:tblGrid>
        <w:gridCol w:w="3620"/>
        <w:gridCol w:w="2080"/>
        <w:gridCol w:w="2740"/>
      </w:tblGrid>
      <w:tr w:rsidR="005D3E45" w:rsidRPr="00785586" w14:paraId="6FDFA89E" w14:textId="77777777" w:rsidTr="003C741C">
        <w:trPr>
          <w:trHeight w:val="250"/>
        </w:trPr>
        <w:tc>
          <w:tcPr>
            <w:tcW w:w="362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hideMark/>
          </w:tcPr>
          <w:p w14:paraId="5B4B0BC7" w14:textId="77777777" w:rsidR="005D3E45" w:rsidRPr="00785586" w:rsidRDefault="005D3E45" w:rsidP="00C41C40">
            <w:pPr>
              <w:widowControl/>
              <w:autoSpaceDE/>
              <w:autoSpaceDN/>
              <w:rPr>
                <w:rFonts w:ascii="Tahoma" w:eastAsia="Times New Roman" w:hAnsi="Tahoma" w:cs="Tahoma"/>
                <w:b/>
                <w:bCs/>
                <w:color w:val="000000"/>
                <w:sz w:val="20"/>
                <w:szCs w:val="20"/>
                <w:lang w:bidi="ar-SA"/>
              </w:rPr>
            </w:pPr>
            <w:r>
              <w:rPr>
                <w:rFonts w:ascii="Tahoma" w:eastAsia="Times New Roman" w:hAnsi="Tahoma" w:cs="Tahoma"/>
                <w:b/>
                <w:bCs/>
                <w:color w:val="000000"/>
                <w:sz w:val="20"/>
                <w:szCs w:val="20"/>
                <w:lang w:bidi="ar-SA"/>
              </w:rPr>
              <w:t>Marital Status</w:t>
            </w:r>
          </w:p>
        </w:tc>
        <w:tc>
          <w:tcPr>
            <w:tcW w:w="208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hideMark/>
          </w:tcPr>
          <w:p w14:paraId="690FB1F3" w14:textId="77777777" w:rsidR="005D3E45" w:rsidRPr="00785586" w:rsidRDefault="005D3E45" w:rsidP="00C41C40">
            <w:pPr>
              <w:widowControl/>
              <w:autoSpaceDE/>
              <w:autoSpaceDN/>
              <w:rPr>
                <w:rFonts w:ascii="Tahoma" w:eastAsia="Times New Roman" w:hAnsi="Tahoma" w:cs="Tahoma"/>
                <w:b/>
                <w:bCs/>
                <w:color w:val="000000"/>
                <w:sz w:val="20"/>
                <w:szCs w:val="20"/>
                <w:lang w:bidi="ar-SA"/>
              </w:rPr>
            </w:pPr>
            <w:r>
              <w:rPr>
                <w:rFonts w:ascii="Tahoma" w:eastAsia="Times New Roman" w:hAnsi="Tahoma" w:cs="Tahoma"/>
                <w:b/>
                <w:bCs/>
                <w:color w:val="000000"/>
                <w:sz w:val="20"/>
                <w:szCs w:val="20"/>
                <w:lang w:bidi="ar-SA"/>
              </w:rPr>
              <w:t>Number of patients admitted to inpatient wards</w:t>
            </w:r>
          </w:p>
        </w:tc>
        <w:tc>
          <w:tcPr>
            <w:tcW w:w="274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hideMark/>
          </w:tcPr>
          <w:p w14:paraId="1A2A9D42" w14:textId="77777777" w:rsidR="005D3E45" w:rsidRPr="00785586" w:rsidRDefault="005D3E45" w:rsidP="00C41C40">
            <w:pPr>
              <w:widowControl/>
              <w:autoSpaceDE/>
              <w:autoSpaceDN/>
              <w:rPr>
                <w:rFonts w:ascii="Tahoma" w:eastAsia="Times New Roman" w:hAnsi="Tahoma" w:cs="Tahoma"/>
                <w:b/>
                <w:bCs/>
                <w:color w:val="000000"/>
                <w:sz w:val="20"/>
                <w:szCs w:val="20"/>
                <w:lang w:bidi="ar-SA"/>
              </w:rPr>
            </w:pPr>
            <w:r w:rsidRPr="00785586">
              <w:rPr>
                <w:rFonts w:ascii="Tahoma" w:eastAsia="Times New Roman" w:hAnsi="Tahoma" w:cs="Tahoma"/>
                <w:b/>
                <w:bCs/>
                <w:color w:val="000000"/>
                <w:sz w:val="20"/>
                <w:szCs w:val="20"/>
                <w:lang w:bidi="ar-SA"/>
              </w:rPr>
              <w:t>Average of Length of stay</w:t>
            </w:r>
          </w:p>
        </w:tc>
      </w:tr>
      <w:tr w:rsidR="005D3E45" w:rsidRPr="00785586" w14:paraId="58B9F662" w14:textId="77777777" w:rsidTr="00C41C40">
        <w:trPr>
          <w:trHeight w:val="250"/>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14:paraId="7254A5B7" w14:textId="77777777" w:rsidR="005D3E45" w:rsidRPr="003C741C" w:rsidRDefault="005D3E45" w:rsidP="00C41C40">
            <w:pPr>
              <w:widowControl/>
              <w:autoSpaceDE/>
              <w:autoSpaceDN/>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DIVORCED/CIVIL P'SHIP DISSOLV</w:t>
            </w:r>
          </w:p>
        </w:tc>
        <w:tc>
          <w:tcPr>
            <w:tcW w:w="2080" w:type="dxa"/>
            <w:tcBorders>
              <w:top w:val="nil"/>
              <w:left w:val="nil"/>
              <w:bottom w:val="single" w:sz="4" w:space="0" w:color="auto"/>
              <w:right w:val="single" w:sz="4" w:space="0" w:color="auto"/>
            </w:tcBorders>
            <w:shd w:val="clear" w:color="auto" w:fill="auto"/>
            <w:noWrap/>
            <w:vAlign w:val="bottom"/>
            <w:hideMark/>
          </w:tcPr>
          <w:p w14:paraId="3466421C"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142</w:t>
            </w:r>
          </w:p>
        </w:tc>
        <w:tc>
          <w:tcPr>
            <w:tcW w:w="2740" w:type="dxa"/>
            <w:tcBorders>
              <w:top w:val="nil"/>
              <w:left w:val="nil"/>
              <w:bottom w:val="single" w:sz="4" w:space="0" w:color="auto"/>
              <w:right w:val="single" w:sz="4" w:space="0" w:color="auto"/>
            </w:tcBorders>
            <w:shd w:val="clear" w:color="auto" w:fill="auto"/>
            <w:noWrap/>
            <w:vAlign w:val="bottom"/>
            <w:hideMark/>
          </w:tcPr>
          <w:p w14:paraId="520303EA"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61.18</w:t>
            </w:r>
          </w:p>
        </w:tc>
      </w:tr>
      <w:tr w:rsidR="005D3E45" w:rsidRPr="00785586" w14:paraId="706D6866" w14:textId="77777777" w:rsidTr="00C41C40">
        <w:trPr>
          <w:trHeight w:val="250"/>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14:paraId="712DE74A" w14:textId="77777777" w:rsidR="005D3E45" w:rsidRPr="003C741C" w:rsidRDefault="005D3E45" w:rsidP="00C41C40">
            <w:pPr>
              <w:widowControl/>
              <w:autoSpaceDE/>
              <w:autoSpaceDN/>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IN A RELATIONSHIP</w:t>
            </w:r>
          </w:p>
        </w:tc>
        <w:tc>
          <w:tcPr>
            <w:tcW w:w="2080" w:type="dxa"/>
            <w:tcBorders>
              <w:top w:val="nil"/>
              <w:left w:val="nil"/>
              <w:bottom w:val="single" w:sz="4" w:space="0" w:color="auto"/>
              <w:right w:val="single" w:sz="4" w:space="0" w:color="auto"/>
            </w:tcBorders>
            <w:shd w:val="clear" w:color="auto" w:fill="auto"/>
            <w:noWrap/>
            <w:vAlign w:val="bottom"/>
            <w:hideMark/>
          </w:tcPr>
          <w:p w14:paraId="090EEBFC"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89</w:t>
            </w:r>
          </w:p>
        </w:tc>
        <w:tc>
          <w:tcPr>
            <w:tcW w:w="2740" w:type="dxa"/>
            <w:tcBorders>
              <w:top w:val="nil"/>
              <w:left w:val="nil"/>
              <w:bottom w:val="single" w:sz="4" w:space="0" w:color="auto"/>
              <w:right w:val="single" w:sz="4" w:space="0" w:color="auto"/>
            </w:tcBorders>
            <w:shd w:val="clear" w:color="auto" w:fill="auto"/>
            <w:noWrap/>
            <w:vAlign w:val="bottom"/>
            <w:hideMark/>
          </w:tcPr>
          <w:p w14:paraId="1C7FDDD1"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20.56</w:t>
            </w:r>
          </w:p>
        </w:tc>
      </w:tr>
      <w:tr w:rsidR="005D3E45" w:rsidRPr="00785586" w14:paraId="76C718B8" w14:textId="77777777" w:rsidTr="00C41C40">
        <w:trPr>
          <w:trHeight w:val="250"/>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14:paraId="304B0A37" w14:textId="77777777" w:rsidR="005D3E45" w:rsidRPr="003C741C" w:rsidRDefault="005D3E45" w:rsidP="00C41C40">
            <w:pPr>
              <w:widowControl/>
              <w:autoSpaceDE/>
              <w:autoSpaceDN/>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LIVING WITH A PARTNER</w:t>
            </w:r>
          </w:p>
        </w:tc>
        <w:tc>
          <w:tcPr>
            <w:tcW w:w="2080" w:type="dxa"/>
            <w:tcBorders>
              <w:top w:val="nil"/>
              <w:left w:val="nil"/>
              <w:bottom w:val="single" w:sz="4" w:space="0" w:color="auto"/>
              <w:right w:val="single" w:sz="4" w:space="0" w:color="auto"/>
            </w:tcBorders>
            <w:shd w:val="clear" w:color="auto" w:fill="auto"/>
            <w:noWrap/>
            <w:vAlign w:val="bottom"/>
            <w:hideMark/>
          </w:tcPr>
          <w:p w14:paraId="49D3AEE1"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98</w:t>
            </w:r>
          </w:p>
        </w:tc>
        <w:tc>
          <w:tcPr>
            <w:tcW w:w="2740" w:type="dxa"/>
            <w:tcBorders>
              <w:top w:val="nil"/>
              <w:left w:val="nil"/>
              <w:bottom w:val="single" w:sz="4" w:space="0" w:color="auto"/>
              <w:right w:val="single" w:sz="4" w:space="0" w:color="auto"/>
            </w:tcBorders>
            <w:shd w:val="clear" w:color="auto" w:fill="auto"/>
            <w:noWrap/>
            <w:vAlign w:val="bottom"/>
            <w:hideMark/>
          </w:tcPr>
          <w:p w14:paraId="58E8D1D7"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31.89</w:t>
            </w:r>
          </w:p>
        </w:tc>
      </w:tr>
      <w:tr w:rsidR="005D3E45" w:rsidRPr="00785586" w14:paraId="754C0AFB" w14:textId="77777777" w:rsidTr="00C41C40">
        <w:trPr>
          <w:trHeight w:val="250"/>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14:paraId="4F0C2F19" w14:textId="77777777" w:rsidR="005D3E45" w:rsidRPr="003C741C" w:rsidRDefault="005D3E45" w:rsidP="00C41C40">
            <w:pPr>
              <w:widowControl/>
              <w:autoSpaceDE/>
              <w:autoSpaceDN/>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MARRIED/CIVIL PARTNER</w:t>
            </w:r>
          </w:p>
        </w:tc>
        <w:tc>
          <w:tcPr>
            <w:tcW w:w="2080" w:type="dxa"/>
            <w:tcBorders>
              <w:top w:val="nil"/>
              <w:left w:val="nil"/>
              <w:bottom w:val="single" w:sz="4" w:space="0" w:color="auto"/>
              <w:right w:val="single" w:sz="4" w:space="0" w:color="auto"/>
            </w:tcBorders>
            <w:shd w:val="clear" w:color="auto" w:fill="auto"/>
            <w:noWrap/>
            <w:vAlign w:val="bottom"/>
            <w:hideMark/>
          </w:tcPr>
          <w:p w14:paraId="2177AD6C"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572</w:t>
            </w:r>
          </w:p>
        </w:tc>
        <w:tc>
          <w:tcPr>
            <w:tcW w:w="2740" w:type="dxa"/>
            <w:tcBorders>
              <w:top w:val="nil"/>
              <w:left w:val="nil"/>
              <w:bottom w:val="single" w:sz="4" w:space="0" w:color="auto"/>
              <w:right w:val="single" w:sz="4" w:space="0" w:color="auto"/>
            </w:tcBorders>
            <w:shd w:val="clear" w:color="auto" w:fill="auto"/>
            <w:noWrap/>
            <w:vAlign w:val="bottom"/>
            <w:hideMark/>
          </w:tcPr>
          <w:p w14:paraId="0744CBD3"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66.30</w:t>
            </w:r>
          </w:p>
        </w:tc>
      </w:tr>
      <w:tr w:rsidR="005D3E45" w:rsidRPr="00785586" w14:paraId="2B6DA0E2" w14:textId="77777777" w:rsidTr="00C41C40">
        <w:trPr>
          <w:trHeight w:val="250"/>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14:paraId="014E3B45" w14:textId="77777777" w:rsidR="005D3E45" w:rsidRPr="003C741C" w:rsidRDefault="005D3E45" w:rsidP="00C41C40">
            <w:pPr>
              <w:widowControl/>
              <w:autoSpaceDE/>
              <w:autoSpaceDN/>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NOT DISCLOSED</w:t>
            </w:r>
          </w:p>
        </w:tc>
        <w:tc>
          <w:tcPr>
            <w:tcW w:w="2080" w:type="dxa"/>
            <w:tcBorders>
              <w:top w:val="nil"/>
              <w:left w:val="nil"/>
              <w:bottom w:val="single" w:sz="4" w:space="0" w:color="auto"/>
              <w:right w:val="single" w:sz="4" w:space="0" w:color="auto"/>
            </w:tcBorders>
            <w:shd w:val="clear" w:color="auto" w:fill="auto"/>
            <w:noWrap/>
            <w:vAlign w:val="bottom"/>
            <w:hideMark/>
          </w:tcPr>
          <w:p w14:paraId="314471C0"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279</w:t>
            </w:r>
          </w:p>
        </w:tc>
        <w:tc>
          <w:tcPr>
            <w:tcW w:w="2740" w:type="dxa"/>
            <w:tcBorders>
              <w:top w:val="nil"/>
              <w:left w:val="nil"/>
              <w:bottom w:val="single" w:sz="4" w:space="0" w:color="auto"/>
              <w:right w:val="single" w:sz="4" w:space="0" w:color="auto"/>
            </w:tcBorders>
            <w:shd w:val="clear" w:color="auto" w:fill="auto"/>
            <w:noWrap/>
            <w:vAlign w:val="bottom"/>
            <w:hideMark/>
          </w:tcPr>
          <w:p w14:paraId="29CCA89F"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61.78</w:t>
            </w:r>
          </w:p>
        </w:tc>
      </w:tr>
      <w:tr w:rsidR="005D3E45" w:rsidRPr="00785586" w14:paraId="007DE9DD" w14:textId="77777777" w:rsidTr="00C41C40">
        <w:trPr>
          <w:trHeight w:val="250"/>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14:paraId="27C1DA61" w14:textId="77777777" w:rsidR="005D3E45" w:rsidRPr="003C741C" w:rsidRDefault="005D3E45" w:rsidP="00C41C40">
            <w:pPr>
              <w:widowControl/>
              <w:autoSpaceDE/>
              <w:autoSpaceDN/>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NOT KNOWN</w:t>
            </w:r>
          </w:p>
        </w:tc>
        <w:tc>
          <w:tcPr>
            <w:tcW w:w="2080" w:type="dxa"/>
            <w:tcBorders>
              <w:top w:val="nil"/>
              <w:left w:val="nil"/>
              <w:bottom w:val="single" w:sz="4" w:space="0" w:color="auto"/>
              <w:right w:val="single" w:sz="4" w:space="0" w:color="auto"/>
            </w:tcBorders>
            <w:shd w:val="clear" w:color="auto" w:fill="auto"/>
            <w:noWrap/>
            <w:vAlign w:val="bottom"/>
            <w:hideMark/>
          </w:tcPr>
          <w:p w14:paraId="52E37605"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1279</w:t>
            </w:r>
          </w:p>
        </w:tc>
        <w:tc>
          <w:tcPr>
            <w:tcW w:w="2740" w:type="dxa"/>
            <w:tcBorders>
              <w:top w:val="nil"/>
              <w:left w:val="nil"/>
              <w:bottom w:val="single" w:sz="4" w:space="0" w:color="auto"/>
              <w:right w:val="single" w:sz="4" w:space="0" w:color="auto"/>
            </w:tcBorders>
            <w:shd w:val="clear" w:color="auto" w:fill="auto"/>
            <w:noWrap/>
            <w:vAlign w:val="bottom"/>
            <w:hideMark/>
          </w:tcPr>
          <w:p w14:paraId="7B33778A"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42.83</w:t>
            </w:r>
          </w:p>
        </w:tc>
      </w:tr>
      <w:tr w:rsidR="005D3E45" w:rsidRPr="00785586" w14:paraId="4C7A980E" w14:textId="77777777" w:rsidTr="00C41C40">
        <w:trPr>
          <w:trHeight w:val="250"/>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14:paraId="79817928" w14:textId="77777777" w:rsidR="005D3E45" w:rsidRPr="003C741C" w:rsidRDefault="005D3E45" w:rsidP="00C41C40">
            <w:pPr>
              <w:widowControl/>
              <w:autoSpaceDE/>
              <w:autoSpaceDN/>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SEPARATED</w:t>
            </w:r>
          </w:p>
        </w:tc>
        <w:tc>
          <w:tcPr>
            <w:tcW w:w="2080" w:type="dxa"/>
            <w:tcBorders>
              <w:top w:val="nil"/>
              <w:left w:val="nil"/>
              <w:bottom w:val="single" w:sz="4" w:space="0" w:color="auto"/>
              <w:right w:val="single" w:sz="4" w:space="0" w:color="auto"/>
            </w:tcBorders>
            <w:shd w:val="clear" w:color="auto" w:fill="auto"/>
            <w:noWrap/>
            <w:vAlign w:val="bottom"/>
            <w:hideMark/>
          </w:tcPr>
          <w:p w14:paraId="7711E45F"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82</w:t>
            </w:r>
          </w:p>
        </w:tc>
        <w:tc>
          <w:tcPr>
            <w:tcW w:w="2740" w:type="dxa"/>
            <w:tcBorders>
              <w:top w:val="nil"/>
              <w:left w:val="nil"/>
              <w:bottom w:val="single" w:sz="4" w:space="0" w:color="auto"/>
              <w:right w:val="single" w:sz="4" w:space="0" w:color="auto"/>
            </w:tcBorders>
            <w:shd w:val="clear" w:color="auto" w:fill="auto"/>
            <w:noWrap/>
            <w:vAlign w:val="bottom"/>
            <w:hideMark/>
          </w:tcPr>
          <w:p w14:paraId="04730B06"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47.90</w:t>
            </w:r>
          </w:p>
        </w:tc>
      </w:tr>
      <w:tr w:rsidR="005D3E45" w:rsidRPr="00785586" w14:paraId="57CFCCE7" w14:textId="77777777" w:rsidTr="00C41C40">
        <w:trPr>
          <w:trHeight w:val="250"/>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14:paraId="162837BE" w14:textId="77777777" w:rsidR="005D3E45" w:rsidRPr="003C741C" w:rsidRDefault="005D3E45" w:rsidP="00C41C40">
            <w:pPr>
              <w:widowControl/>
              <w:autoSpaceDE/>
              <w:autoSpaceDN/>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SINGLE</w:t>
            </w:r>
          </w:p>
        </w:tc>
        <w:tc>
          <w:tcPr>
            <w:tcW w:w="2080" w:type="dxa"/>
            <w:tcBorders>
              <w:top w:val="nil"/>
              <w:left w:val="nil"/>
              <w:bottom w:val="single" w:sz="4" w:space="0" w:color="auto"/>
              <w:right w:val="single" w:sz="4" w:space="0" w:color="auto"/>
            </w:tcBorders>
            <w:shd w:val="clear" w:color="auto" w:fill="auto"/>
            <w:noWrap/>
            <w:vAlign w:val="bottom"/>
            <w:hideMark/>
          </w:tcPr>
          <w:p w14:paraId="1FEF21A8"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2157</w:t>
            </w:r>
          </w:p>
        </w:tc>
        <w:tc>
          <w:tcPr>
            <w:tcW w:w="2740" w:type="dxa"/>
            <w:tcBorders>
              <w:top w:val="nil"/>
              <w:left w:val="nil"/>
              <w:bottom w:val="single" w:sz="4" w:space="0" w:color="auto"/>
              <w:right w:val="single" w:sz="4" w:space="0" w:color="auto"/>
            </w:tcBorders>
            <w:shd w:val="clear" w:color="auto" w:fill="auto"/>
            <w:noWrap/>
            <w:vAlign w:val="bottom"/>
            <w:hideMark/>
          </w:tcPr>
          <w:p w14:paraId="33EAF543"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34.31</w:t>
            </w:r>
          </w:p>
        </w:tc>
      </w:tr>
      <w:tr w:rsidR="005D3E45" w:rsidRPr="00785586" w14:paraId="1F7357B3" w14:textId="77777777" w:rsidTr="00C41C40">
        <w:trPr>
          <w:trHeight w:val="250"/>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14:paraId="59F49148" w14:textId="77777777" w:rsidR="005D3E45" w:rsidRPr="003C741C" w:rsidRDefault="005D3E45" w:rsidP="00C41C40">
            <w:pPr>
              <w:widowControl/>
              <w:autoSpaceDE/>
              <w:autoSpaceDN/>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SURVIVING PARTNER/WIDOWED</w:t>
            </w:r>
          </w:p>
        </w:tc>
        <w:tc>
          <w:tcPr>
            <w:tcW w:w="2080" w:type="dxa"/>
            <w:tcBorders>
              <w:top w:val="nil"/>
              <w:left w:val="nil"/>
              <w:bottom w:val="single" w:sz="4" w:space="0" w:color="auto"/>
              <w:right w:val="single" w:sz="4" w:space="0" w:color="auto"/>
            </w:tcBorders>
            <w:shd w:val="clear" w:color="auto" w:fill="auto"/>
            <w:noWrap/>
            <w:vAlign w:val="bottom"/>
            <w:hideMark/>
          </w:tcPr>
          <w:p w14:paraId="16766F6B"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137</w:t>
            </w:r>
          </w:p>
        </w:tc>
        <w:tc>
          <w:tcPr>
            <w:tcW w:w="2740" w:type="dxa"/>
            <w:tcBorders>
              <w:top w:val="nil"/>
              <w:left w:val="nil"/>
              <w:bottom w:val="single" w:sz="4" w:space="0" w:color="auto"/>
              <w:right w:val="single" w:sz="4" w:space="0" w:color="auto"/>
            </w:tcBorders>
            <w:shd w:val="clear" w:color="auto" w:fill="auto"/>
            <w:noWrap/>
            <w:vAlign w:val="bottom"/>
            <w:hideMark/>
          </w:tcPr>
          <w:p w14:paraId="589D23CD" w14:textId="77777777" w:rsidR="005D3E45" w:rsidRPr="003C741C" w:rsidRDefault="005D3E45" w:rsidP="00C41C40">
            <w:pPr>
              <w:widowControl/>
              <w:autoSpaceDE/>
              <w:autoSpaceDN/>
              <w:jc w:val="right"/>
              <w:rPr>
                <w:rFonts w:asciiTheme="minorHAnsi" w:eastAsia="Times New Roman" w:hAnsiTheme="minorHAnsi" w:cstheme="minorHAnsi"/>
                <w:color w:val="000000"/>
                <w:sz w:val="20"/>
                <w:szCs w:val="20"/>
                <w:lang w:bidi="ar-SA"/>
              </w:rPr>
            </w:pPr>
            <w:r w:rsidRPr="003C741C">
              <w:rPr>
                <w:rFonts w:asciiTheme="minorHAnsi" w:eastAsia="Times New Roman" w:hAnsiTheme="minorHAnsi" w:cstheme="minorHAnsi"/>
                <w:color w:val="000000"/>
                <w:sz w:val="20"/>
                <w:szCs w:val="20"/>
                <w:lang w:bidi="ar-SA"/>
              </w:rPr>
              <w:t>76.64</w:t>
            </w:r>
          </w:p>
        </w:tc>
      </w:tr>
      <w:tr w:rsidR="005D3E45" w:rsidRPr="00785586" w14:paraId="7A93DFDB" w14:textId="77777777" w:rsidTr="003C741C">
        <w:trPr>
          <w:trHeight w:val="250"/>
        </w:trPr>
        <w:tc>
          <w:tcPr>
            <w:tcW w:w="362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hideMark/>
          </w:tcPr>
          <w:p w14:paraId="26F83AE8" w14:textId="77777777" w:rsidR="005D3E45" w:rsidRPr="003C741C" w:rsidRDefault="005D3E45" w:rsidP="00C41C40">
            <w:pPr>
              <w:widowControl/>
              <w:autoSpaceDE/>
              <w:autoSpaceDN/>
              <w:rPr>
                <w:rFonts w:asciiTheme="minorHAnsi" w:eastAsia="Times New Roman" w:hAnsiTheme="minorHAnsi" w:cstheme="minorHAnsi"/>
                <w:b/>
                <w:bCs/>
                <w:color w:val="000000"/>
                <w:sz w:val="20"/>
                <w:szCs w:val="20"/>
                <w:lang w:bidi="ar-SA"/>
              </w:rPr>
            </w:pPr>
            <w:r w:rsidRPr="003C741C">
              <w:rPr>
                <w:rFonts w:asciiTheme="minorHAnsi" w:eastAsia="Times New Roman" w:hAnsiTheme="minorHAnsi" w:cstheme="minorHAnsi"/>
                <w:b/>
                <w:bCs/>
                <w:color w:val="000000"/>
                <w:sz w:val="20"/>
                <w:szCs w:val="20"/>
                <w:lang w:bidi="ar-SA"/>
              </w:rPr>
              <w:t>Grand Total</w:t>
            </w:r>
          </w:p>
        </w:tc>
        <w:tc>
          <w:tcPr>
            <w:tcW w:w="208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hideMark/>
          </w:tcPr>
          <w:p w14:paraId="1BF897B2" w14:textId="77777777" w:rsidR="005D3E45" w:rsidRPr="003C741C" w:rsidRDefault="005D3E45" w:rsidP="00C41C40">
            <w:pPr>
              <w:widowControl/>
              <w:autoSpaceDE/>
              <w:autoSpaceDN/>
              <w:jc w:val="right"/>
              <w:rPr>
                <w:rFonts w:asciiTheme="minorHAnsi" w:eastAsia="Times New Roman" w:hAnsiTheme="minorHAnsi" w:cstheme="minorHAnsi"/>
                <w:b/>
                <w:bCs/>
                <w:color w:val="000000"/>
                <w:sz w:val="20"/>
                <w:szCs w:val="20"/>
                <w:lang w:bidi="ar-SA"/>
              </w:rPr>
            </w:pPr>
            <w:r w:rsidRPr="003C741C">
              <w:rPr>
                <w:rFonts w:asciiTheme="minorHAnsi" w:eastAsia="Times New Roman" w:hAnsiTheme="minorHAnsi" w:cstheme="minorHAnsi"/>
                <w:b/>
                <w:bCs/>
                <w:color w:val="000000"/>
                <w:sz w:val="20"/>
                <w:szCs w:val="20"/>
                <w:lang w:bidi="ar-SA"/>
              </w:rPr>
              <w:t>4835</w:t>
            </w:r>
          </w:p>
        </w:tc>
        <w:tc>
          <w:tcPr>
            <w:tcW w:w="2740"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hideMark/>
          </w:tcPr>
          <w:p w14:paraId="2AE05118" w14:textId="77777777" w:rsidR="005D3E45" w:rsidRPr="003C741C" w:rsidRDefault="005D3E45" w:rsidP="00C41C40">
            <w:pPr>
              <w:widowControl/>
              <w:autoSpaceDE/>
              <w:autoSpaceDN/>
              <w:jc w:val="right"/>
              <w:rPr>
                <w:rFonts w:asciiTheme="minorHAnsi" w:eastAsia="Times New Roman" w:hAnsiTheme="minorHAnsi" w:cstheme="minorHAnsi"/>
                <w:b/>
                <w:bCs/>
                <w:color w:val="000000"/>
                <w:sz w:val="20"/>
                <w:szCs w:val="20"/>
                <w:lang w:bidi="ar-SA"/>
              </w:rPr>
            </w:pPr>
            <w:r w:rsidRPr="003C741C">
              <w:rPr>
                <w:rFonts w:asciiTheme="minorHAnsi" w:eastAsia="Times New Roman" w:hAnsiTheme="minorHAnsi" w:cstheme="minorHAnsi"/>
                <w:b/>
                <w:bCs/>
                <w:color w:val="000000"/>
                <w:sz w:val="20"/>
                <w:szCs w:val="20"/>
                <w:lang w:bidi="ar-SA"/>
              </w:rPr>
              <w:t>43.85</w:t>
            </w:r>
          </w:p>
        </w:tc>
      </w:tr>
    </w:tbl>
    <w:p w14:paraId="15FFC21B" w14:textId="77777777" w:rsidR="005D3E45" w:rsidRPr="00C64A01" w:rsidRDefault="005D3E45" w:rsidP="005D3E45">
      <w:pPr>
        <w:pStyle w:val="BodyText"/>
        <w:spacing w:before="1" w:line="360" w:lineRule="auto"/>
        <w:ind w:left="142" w:right="119"/>
      </w:pPr>
    </w:p>
    <w:p w14:paraId="4301B5CB" w14:textId="77777777" w:rsidR="008A4C65" w:rsidRPr="00C64A01" w:rsidRDefault="008A4C65" w:rsidP="008A4C65">
      <w:pPr>
        <w:pStyle w:val="BodyText"/>
        <w:spacing w:before="159" w:line="360" w:lineRule="auto"/>
        <w:ind w:left="142"/>
        <w:jc w:val="left"/>
      </w:pPr>
      <w:r w:rsidRPr="00C64A01">
        <w:rPr>
          <w:color w:val="5A5A5A"/>
        </w:rPr>
        <w:t>Gender:</w:t>
      </w:r>
    </w:p>
    <w:p w14:paraId="4ED82843" w14:textId="79CA89A6" w:rsidR="008A4C65" w:rsidRPr="004B4803" w:rsidRDefault="008A4C65" w:rsidP="004B4803">
      <w:pPr>
        <w:spacing w:before="182" w:line="360" w:lineRule="auto"/>
        <w:ind w:left="142"/>
        <w:rPr>
          <w:i/>
        </w:rPr>
      </w:pPr>
      <w:r w:rsidRPr="00C64A01">
        <w:rPr>
          <w:i/>
          <w:color w:val="404040"/>
        </w:rPr>
        <w:t>Referral to Inpatient Services:</w:t>
      </w:r>
    </w:p>
    <w:p w14:paraId="558D6090" w14:textId="0210021E" w:rsidR="008A4C65" w:rsidRDefault="008A4C65" w:rsidP="008A4C65">
      <w:pPr>
        <w:pStyle w:val="BodyText"/>
        <w:spacing w:line="360" w:lineRule="auto"/>
        <w:ind w:left="142" w:right="114"/>
      </w:pPr>
      <w:r w:rsidRPr="00C64A01">
        <w:t xml:space="preserve">The highest proportion of referrals belonged to the group identifying as Male (including trans man) (51%) followed by Female (including trans woman) (48%). </w:t>
      </w:r>
    </w:p>
    <w:p w14:paraId="3B2DEB8D" w14:textId="77777777" w:rsidR="005B540A" w:rsidRPr="00C64A01" w:rsidRDefault="005B540A" w:rsidP="008A4C65">
      <w:pPr>
        <w:pStyle w:val="BodyText"/>
        <w:spacing w:line="360" w:lineRule="auto"/>
        <w:ind w:left="142" w:right="114"/>
      </w:pPr>
    </w:p>
    <w:p w14:paraId="2BBE666E" w14:textId="77777777" w:rsidR="008A4C65" w:rsidRPr="00C64A01" w:rsidRDefault="008A4C65" w:rsidP="008A4C65">
      <w:pPr>
        <w:spacing w:before="158" w:line="360" w:lineRule="auto"/>
        <w:ind w:left="142"/>
        <w:rPr>
          <w:i/>
        </w:rPr>
      </w:pPr>
      <w:r w:rsidRPr="00C64A01">
        <w:rPr>
          <w:i/>
          <w:color w:val="404040"/>
        </w:rPr>
        <w:t>Length of Stay:</w:t>
      </w:r>
    </w:p>
    <w:p w14:paraId="426C55F0" w14:textId="7FA90F7A" w:rsidR="008A4C65" w:rsidRPr="00C64A01" w:rsidRDefault="000E1FFE" w:rsidP="008A4C65">
      <w:pPr>
        <w:pStyle w:val="BodyText"/>
        <w:spacing w:before="11" w:line="360" w:lineRule="auto"/>
        <w:ind w:left="142" w:right="471"/>
        <w:jc w:val="left"/>
      </w:pPr>
      <w:r>
        <w:t>No statistical differences were found, however, t</w:t>
      </w:r>
      <w:r w:rsidR="008A4C65" w:rsidRPr="00C64A01">
        <w:t>he highest length of stay belonged to patients identifying as Non-Binary (Mean = 115</w:t>
      </w:r>
      <w:r>
        <w:t>, IQR= 317</w:t>
      </w:r>
      <w:r w:rsidR="008A4C65" w:rsidRPr="00C64A01">
        <w:t>), followed by Female (including trans woman) (Mean = 49</w:t>
      </w:r>
      <w:r>
        <w:t>, IQR= 42</w:t>
      </w:r>
      <w:r w:rsidR="008A4C65" w:rsidRPr="00C64A01">
        <w:t>), Male (including trans man) (Mean = 40</w:t>
      </w:r>
      <w:r>
        <w:t>, IQR= 20</w:t>
      </w:r>
      <w:r w:rsidR="008A4C65" w:rsidRPr="00C64A01">
        <w:t xml:space="preserve">). </w:t>
      </w:r>
    </w:p>
    <w:p w14:paraId="5129B912" w14:textId="77777777" w:rsidR="008A4C65" w:rsidRPr="00C64A01" w:rsidRDefault="008A4C65" w:rsidP="008A4C65">
      <w:pPr>
        <w:pStyle w:val="BodyText"/>
        <w:spacing w:before="11" w:line="360" w:lineRule="auto"/>
        <w:ind w:left="142" w:right="471"/>
        <w:jc w:val="left"/>
      </w:pPr>
      <w:r w:rsidRPr="00C64A01">
        <w:rPr>
          <w:color w:val="5A5A5A"/>
        </w:rPr>
        <w:t>Religion:</w:t>
      </w:r>
    </w:p>
    <w:p w14:paraId="4C146118" w14:textId="6A0FA5CE" w:rsidR="008A4C65" w:rsidRPr="004B4803" w:rsidRDefault="008A4C65" w:rsidP="004B4803">
      <w:pPr>
        <w:spacing w:before="189" w:line="360" w:lineRule="auto"/>
        <w:ind w:left="142"/>
        <w:rPr>
          <w:i/>
        </w:rPr>
      </w:pPr>
      <w:r w:rsidRPr="00C64A01">
        <w:rPr>
          <w:i/>
          <w:color w:val="404040"/>
        </w:rPr>
        <w:t>Referral to Inpatient Services:</w:t>
      </w:r>
    </w:p>
    <w:p w14:paraId="44DDA0CC" w14:textId="77777777" w:rsidR="008A4C65" w:rsidRPr="00C64A01" w:rsidRDefault="008A4C65" w:rsidP="008A4C65">
      <w:pPr>
        <w:pStyle w:val="BodyText"/>
        <w:spacing w:line="360" w:lineRule="auto"/>
        <w:ind w:left="142" w:right="118"/>
      </w:pPr>
      <w:r w:rsidRPr="00C64A01">
        <w:t xml:space="preserve">A high proportion of data was unknown for religion (27%) which matches the previous </w:t>
      </w:r>
      <w:proofErr w:type="spellStart"/>
      <w:r w:rsidRPr="00C64A01">
        <w:t>years</w:t>
      </w:r>
      <w:proofErr w:type="spellEnd"/>
      <w:r w:rsidRPr="00C64A01">
        <w:t xml:space="preserve"> figures. 39% of patients accessing inpatient services identified as Christian, 24% had no religion, 1% identified as Muslim and only 0.4% were made up by Buddhist, Hindu, Pagan and Sikh faiths. Compared to last </w:t>
      </w:r>
      <w:proofErr w:type="spellStart"/>
      <w:r w:rsidRPr="00C64A01">
        <w:t>years</w:t>
      </w:r>
      <w:proofErr w:type="spellEnd"/>
      <w:r w:rsidRPr="00C64A01">
        <w:t xml:space="preserve"> data there were no patients identifying as Jewish who were referred to inpatient services. </w:t>
      </w:r>
    </w:p>
    <w:p w14:paraId="056E8C1A" w14:textId="77777777" w:rsidR="008A4C65" w:rsidRPr="00C64A01" w:rsidRDefault="008A4C65" w:rsidP="008A4C65">
      <w:pPr>
        <w:spacing w:before="162" w:line="360" w:lineRule="auto"/>
        <w:ind w:left="142"/>
        <w:jc w:val="both"/>
        <w:rPr>
          <w:i/>
        </w:rPr>
      </w:pPr>
      <w:r w:rsidRPr="00C64A01">
        <w:rPr>
          <w:i/>
          <w:color w:val="404040"/>
        </w:rPr>
        <w:t>Length of Stay:</w:t>
      </w:r>
    </w:p>
    <w:p w14:paraId="7D017AB0" w14:textId="3423A73F" w:rsidR="008A4C65" w:rsidRPr="00C64A01" w:rsidRDefault="00E0764B" w:rsidP="008A4C65">
      <w:pPr>
        <w:pStyle w:val="BodyText"/>
        <w:spacing w:before="11" w:line="360" w:lineRule="auto"/>
        <w:ind w:left="142" w:right="813"/>
        <w:jc w:val="left"/>
      </w:pPr>
      <w:r>
        <w:t xml:space="preserve">Statistical higher length of stay was found between Christian (Mean= 47, IQR=43) and both Muslim (Mean= </w:t>
      </w:r>
      <w:proofErr w:type="gramStart"/>
      <w:r>
        <w:t>15 ,IQR</w:t>
      </w:r>
      <w:proofErr w:type="gramEnd"/>
      <w:r>
        <w:t xml:space="preserve">= 4) and Sikh faiths (Mean= 26). </w:t>
      </w:r>
      <w:r w:rsidR="008A4C65" w:rsidRPr="00C64A01">
        <w:t>The religion with the highest average length of stay belonged to those identifying themselves as Buddhist (Mean = 160</w:t>
      </w:r>
      <w:r>
        <w:t>, IQR= 229</w:t>
      </w:r>
      <w:r w:rsidR="008A4C65" w:rsidRPr="00C64A01">
        <w:t>). Followed by Other (Mean = 75), Declines to Disclose (Mean = 74). With the lowest average length of stay belonging to Hindu (Mean = 32), Pagan (Mean = 30), Sikh (Mean = 26)</w:t>
      </w:r>
      <w:r>
        <w:t xml:space="preserve"> and </w:t>
      </w:r>
      <w:r w:rsidR="008A4C65" w:rsidRPr="00C64A01">
        <w:t>Muslim (Mean = 15).</w:t>
      </w:r>
    </w:p>
    <w:p w14:paraId="1CB4B02D" w14:textId="77777777" w:rsidR="00E0764B" w:rsidRDefault="00E0764B" w:rsidP="008A4C65">
      <w:pPr>
        <w:pStyle w:val="BodyText"/>
        <w:spacing w:before="11" w:line="360" w:lineRule="auto"/>
        <w:ind w:left="142" w:right="813"/>
        <w:jc w:val="left"/>
        <w:rPr>
          <w:color w:val="5A5A5A"/>
        </w:rPr>
      </w:pPr>
    </w:p>
    <w:p w14:paraId="3CCCA973" w14:textId="56D3F6EC" w:rsidR="008A4C65" w:rsidRPr="00C64A01" w:rsidRDefault="008A4C65" w:rsidP="008A4C65">
      <w:pPr>
        <w:pStyle w:val="BodyText"/>
        <w:spacing w:before="11" w:line="360" w:lineRule="auto"/>
        <w:ind w:left="142" w:right="813"/>
        <w:jc w:val="left"/>
      </w:pPr>
      <w:r w:rsidRPr="00C64A01">
        <w:rPr>
          <w:color w:val="5A5A5A"/>
        </w:rPr>
        <w:t>Sexual Orientation:</w:t>
      </w:r>
    </w:p>
    <w:p w14:paraId="128D6FD4" w14:textId="77777777" w:rsidR="008A4C65" w:rsidRPr="00C64A01" w:rsidRDefault="008A4C65" w:rsidP="008A4C65">
      <w:pPr>
        <w:spacing w:before="189" w:line="360" w:lineRule="auto"/>
        <w:ind w:left="142"/>
        <w:jc w:val="both"/>
        <w:rPr>
          <w:i/>
        </w:rPr>
      </w:pPr>
      <w:r w:rsidRPr="00C64A01">
        <w:rPr>
          <w:i/>
          <w:color w:val="404040"/>
        </w:rPr>
        <w:t>Referral to Inpatient Services:</w:t>
      </w:r>
    </w:p>
    <w:p w14:paraId="5707E3B1" w14:textId="77777777" w:rsidR="008A4C65" w:rsidRPr="00C64A01" w:rsidRDefault="008A4C65" w:rsidP="008A4C65">
      <w:pPr>
        <w:spacing w:before="160" w:line="360" w:lineRule="auto"/>
        <w:ind w:left="142"/>
        <w:jc w:val="both"/>
        <w:rPr>
          <w:iCs/>
          <w:color w:val="404040"/>
        </w:rPr>
      </w:pPr>
      <w:r w:rsidRPr="00C64A01">
        <w:rPr>
          <w:iCs/>
          <w:color w:val="404040"/>
        </w:rPr>
        <w:t>The greatest proportion of patients accessing inpatients services identified as heterosexual (67%). 29% were made up by not stated (declined), not known, not age/developmentally appropriate and person asked and does not know. 3% were represented by Gay, Lesbian and Bi-sexual.</w:t>
      </w:r>
    </w:p>
    <w:p w14:paraId="64B6E8AC" w14:textId="77777777" w:rsidR="008A4C65" w:rsidRPr="00C64A01" w:rsidRDefault="008A4C65" w:rsidP="008A4C65">
      <w:pPr>
        <w:spacing w:before="160" w:line="360" w:lineRule="auto"/>
        <w:ind w:left="142"/>
        <w:jc w:val="both"/>
        <w:rPr>
          <w:i/>
        </w:rPr>
      </w:pPr>
      <w:r w:rsidRPr="00C64A01">
        <w:rPr>
          <w:i/>
          <w:color w:val="404040"/>
        </w:rPr>
        <w:t>Length of Stay:</w:t>
      </w:r>
    </w:p>
    <w:p w14:paraId="5808F37D" w14:textId="6BB251F8" w:rsidR="008A4C65" w:rsidRDefault="00774D2B" w:rsidP="008A4C65">
      <w:pPr>
        <w:pStyle w:val="BodyText"/>
        <w:spacing w:before="156" w:line="360" w:lineRule="auto"/>
        <w:ind w:left="142"/>
        <w:jc w:val="left"/>
      </w:pPr>
      <w:r>
        <w:t>No statistically significant differences were identified.</w:t>
      </w:r>
      <w:r w:rsidR="00DC077C">
        <w:t xml:space="preserve"> </w:t>
      </w:r>
      <w:r w:rsidR="008A4C65" w:rsidRPr="00C64A01">
        <w:t xml:space="preserve">The sexual orientation group with the highest average length of stay within inpatient services belonged to patients identifying themselves as Bi-sexual (Mean = 97), followed by Not stated (declined) (Mean = 63), Heterosexual (Mean = 60) and Gay/Lesbian (Mean = 52). The sexual orientation group with the lowest average length of stay is those who are not age appropriate (Mean = 5). </w:t>
      </w:r>
    </w:p>
    <w:p w14:paraId="32FF8E75" w14:textId="77777777" w:rsidR="005B540A" w:rsidRPr="00C64A01" w:rsidRDefault="005B540A" w:rsidP="008A4C65">
      <w:pPr>
        <w:pStyle w:val="BodyText"/>
        <w:spacing w:before="156" w:line="360" w:lineRule="auto"/>
        <w:ind w:left="142"/>
        <w:jc w:val="left"/>
      </w:pPr>
    </w:p>
    <w:p w14:paraId="6A71D68D" w14:textId="77777777" w:rsidR="008A4C65" w:rsidRPr="00C64A01" w:rsidRDefault="008A4C65" w:rsidP="008A4C65">
      <w:pPr>
        <w:pStyle w:val="BodyText"/>
        <w:spacing w:before="156" w:line="360" w:lineRule="auto"/>
        <w:ind w:left="142"/>
        <w:jc w:val="left"/>
      </w:pPr>
      <w:r w:rsidRPr="00C64A01">
        <w:rPr>
          <w:color w:val="5A5A5A"/>
          <w:spacing w:val="9"/>
        </w:rPr>
        <w:t>Age:</w:t>
      </w:r>
    </w:p>
    <w:p w14:paraId="4FAE4B6F" w14:textId="7558BD74" w:rsidR="008A4C65" w:rsidRPr="00C64A01" w:rsidRDefault="008A4C65" w:rsidP="004B4803">
      <w:pPr>
        <w:spacing w:before="182" w:line="360" w:lineRule="auto"/>
        <w:ind w:left="142"/>
        <w:jc w:val="both"/>
        <w:rPr>
          <w:i/>
        </w:rPr>
      </w:pPr>
      <w:r w:rsidRPr="00C64A01">
        <w:rPr>
          <w:i/>
          <w:color w:val="404040"/>
        </w:rPr>
        <w:t>Referral to Inpatient Services:</w:t>
      </w:r>
    </w:p>
    <w:p w14:paraId="6C90B970" w14:textId="77777777" w:rsidR="008A4C65" w:rsidRPr="00C64A01" w:rsidRDefault="008A4C65" w:rsidP="008A4C65">
      <w:pPr>
        <w:pStyle w:val="BodyText"/>
        <w:spacing w:line="360" w:lineRule="auto"/>
        <w:ind w:left="142" w:right="117"/>
      </w:pPr>
      <w:r w:rsidRPr="00C64A01">
        <w:t xml:space="preserve">Age split across inpatient services was reasonably even across the groups, 18-29 (21.16%), 30-44 (27.65%), 45 – 64 (26.05%), 65+ (22.65%). However, under 18s only accounted for 2.52% of referrals into inpatient wards. </w:t>
      </w:r>
    </w:p>
    <w:p w14:paraId="017E721C" w14:textId="77777777" w:rsidR="00774D2B" w:rsidRDefault="00774D2B" w:rsidP="004B4803">
      <w:pPr>
        <w:spacing w:before="3" w:line="360" w:lineRule="auto"/>
        <w:ind w:left="142"/>
        <w:jc w:val="both"/>
        <w:rPr>
          <w:i/>
          <w:color w:val="404040"/>
        </w:rPr>
      </w:pPr>
    </w:p>
    <w:p w14:paraId="76FF5EA0" w14:textId="3E2DE386" w:rsidR="008A4C65" w:rsidRPr="00C64A01" w:rsidRDefault="008A4C65" w:rsidP="004B4803">
      <w:pPr>
        <w:spacing w:before="3" w:line="360" w:lineRule="auto"/>
        <w:ind w:left="142"/>
        <w:jc w:val="both"/>
        <w:rPr>
          <w:i/>
        </w:rPr>
      </w:pPr>
      <w:r w:rsidRPr="00C64A01">
        <w:rPr>
          <w:i/>
          <w:color w:val="404040"/>
        </w:rPr>
        <w:t>Length of Stay:</w:t>
      </w:r>
    </w:p>
    <w:p w14:paraId="3DDE128A" w14:textId="31F98F02" w:rsidR="008A4C65" w:rsidRDefault="008A4C65" w:rsidP="008A4C65">
      <w:pPr>
        <w:pStyle w:val="BodyText"/>
        <w:spacing w:before="1" w:line="360" w:lineRule="auto"/>
        <w:ind w:left="142" w:right="112"/>
      </w:pPr>
      <w:r w:rsidRPr="00C64A01">
        <w:t>The age category of 65+ had significantly higher lengths of stay than any other age group (Mean</w:t>
      </w:r>
      <w:r w:rsidRPr="00C64A01">
        <w:rPr>
          <w:spacing w:val="-5"/>
        </w:rPr>
        <w:t xml:space="preserve"> </w:t>
      </w:r>
      <w:r w:rsidRPr="00C64A01">
        <w:t>=</w:t>
      </w:r>
      <w:r w:rsidRPr="00C64A01">
        <w:rPr>
          <w:spacing w:val="-1"/>
        </w:rPr>
        <w:t xml:space="preserve"> </w:t>
      </w:r>
      <w:r w:rsidRPr="00C64A01">
        <w:t>78</w:t>
      </w:r>
      <w:r w:rsidR="00774D2B">
        <w:t>, IQR= 74</w:t>
      </w:r>
      <w:r w:rsidRPr="00C64A01">
        <w:t>).</w:t>
      </w:r>
      <w:r w:rsidRPr="00C64A01">
        <w:rPr>
          <w:spacing w:val="-2"/>
        </w:rPr>
        <w:t xml:space="preserve"> </w:t>
      </w:r>
      <w:r w:rsidRPr="00C64A01">
        <w:t>Whilst</w:t>
      </w:r>
      <w:r w:rsidRPr="00C64A01">
        <w:rPr>
          <w:spacing w:val="-4"/>
        </w:rPr>
        <w:t xml:space="preserve"> </w:t>
      </w:r>
      <w:r w:rsidRPr="00C64A01">
        <w:t>the</w:t>
      </w:r>
      <w:r w:rsidRPr="00C64A01">
        <w:rPr>
          <w:spacing w:val="-2"/>
        </w:rPr>
        <w:t xml:space="preserve"> </w:t>
      </w:r>
      <w:r w:rsidRPr="00C64A01">
        <w:t>under</w:t>
      </w:r>
      <w:r w:rsidRPr="00C64A01">
        <w:rPr>
          <w:spacing w:val="-2"/>
        </w:rPr>
        <w:t xml:space="preserve"> </w:t>
      </w:r>
      <w:r w:rsidRPr="00C64A01">
        <w:t>18</w:t>
      </w:r>
      <w:r w:rsidRPr="00C64A01">
        <w:rPr>
          <w:spacing w:val="-5"/>
        </w:rPr>
        <w:t xml:space="preserve"> </w:t>
      </w:r>
      <w:r w:rsidRPr="00C64A01">
        <w:t>group</w:t>
      </w:r>
      <w:r w:rsidRPr="00C64A01">
        <w:rPr>
          <w:spacing w:val="-2"/>
        </w:rPr>
        <w:t xml:space="preserve"> </w:t>
      </w:r>
      <w:r w:rsidRPr="00C64A01">
        <w:t>has</w:t>
      </w:r>
      <w:r w:rsidRPr="00C64A01">
        <w:rPr>
          <w:spacing w:val="-3"/>
        </w:rPr>
        <w:t xml:space="preserve"> </w:t>
      </w:r>
      <w:r w:rsidRPr="00C64A01">
        <w:t>significantly</w:t>
      </w:r>
      <w:r w:rsidRPr="00C64A01">
        <w:rPr>
          <w:spacing w:val="-2"/>
        </w:rPr>
        <w:t xml:space="preserve"> </w:t>
      </w:r>
      <w:r w:rsidRPr="00C64A01">
        <w:t>lower</w:t>
      </w:r>
      <w:r w:rsidRPr="00C64A01">
        <w:rPr>
          <w:spacing w:val="-1"/>
        </w:rPr>
        <w:t xml:space="preserve"> </w:t>
      </w:r>
      <w:r w:rsidRPr="00C64A01">
        <w:t>lengths</w:t>
      </w:r>
      <w:r w:rsidRPr="00C64A01">
        <w:rPr>
          <w:spacing w:val="-2"/>
        </w:rPr>
        <w:t xml:space="preserve"> </w:t>
      </w:r>
      <w:r w:rsidRPr="00C64A01">
        <w:t>of</w:t>
      </w:r>
      <w:r w:rsidRPr="00C64A01">
        <w:rPr>
          <w:spacing w:val="-3"/>
        </w:rPr>
        <w:t xml:space="preserve"> </w:t>
      </w:r>
      <w:r w:rsidRPr="00C64A01">
        <w:t>stay than all other groups (Mean = 1</w:t>
      </w:r>
      <w:r w:rsidR="00774D2B">
        <w:t>, IQR= 0</w:t>
      </w:r>
      <w:r w:rsidRPr="00C64A01">
        <w:t>).</w:t>
      </w:r>
      <w:r w:rsidR="005B540A">
        <w:t xml:space="preserve"> Below is a graph which shows the average length of stay broken down by patient age category.</w:t>
      </w:r>
    </w:p>
    <w:p w14:paraId="4DEFFC31" w14:textId="0AAAD40C" w:rsidR="005B540A" w:rsidRDefault="005B540A" w:rsidP="008A4C65">
      <w:pPr>
        <w:pStyle w:val="BodyText"/>
        <w:spacing w:before="1" w:line="360" w:lineRule="auto"/>
        <w:ind w:left="142" w:right="112"/>
      </w:pPr>
    </w:p>
    <w:p w14:paraId="56958795" w14:textId="70EB12D0" w:rsidR="005B540A" w:rsidRPr="005B540A" w:rsidRDefault="005B540A" w:rsidP="008A4C65">
      <w:pPr>
        <w:pStyle w:val="BodyText"/>
        <w:spacing w:before="1" w:line="360" w:lineRule="auto"/>
        <w:ind w:left="142" w:right="112"/>
        <w:rPr>
          <w:i/>
          <w:iCs/>
        </w:rPr>
      </w:pPr>
      <w:r w:rsidRPr="005B540A">
        <w:rPr>
          <w:i/>
          <w:iCs/>
        </w:rPr>
        <w:t>Graph 7: Number of patients admitted to inpatient beds and the average length of stay broken down by age category.</w:t>
      </w:r>
    </w:p>
    <w:p w14:paraId="75F943C7" w14:textId="5CEDE262" w:rsidR="008A4C65" w:rsidRDefault="005D3E45">
      <w:pPr>
        <w:pStyle w:val="BodyText"/>
        <w:spacing w:before="3"/>
        <w:jc w:val="left"/>
        <w:rPr>
          <w:u w:val="single"/>
        </w:rPr>
      </w:pPr>
      <w:bookmarkStart w:id="8" w:name="_bookmark6"/>
      <w:bookmarkEnd w:id="8"/>
      <w:r>
        <w:rPr>
          <w:noProof/>
        </w:rPr>
        <w:drawing>
          <wp:inline distT="0" distB="0" distL="0" distR="0" wp14:anchorId="2D12A6AA" wp14:editId="3F909229">
            <wp:extent cx="5356226" cy="3616326"/>
            <wp:effectExtent l="0" t="0" r="15875" b="3175"/>
            <wp:docPr id="22" name="Chart 22">
              <a:extLst xmlns:a="http://schemas.openxmlformats.org/drawingml/2006/main">
                <a:ext uri="{FF2B5EF4-FFF2-40B4-BE49-F238E27FC236}">
                  <a16:creationId xmlns:a16="http://schemas.microsoft.com/office/drawing/2014/main" id="{F0A1E1C6-F669-5E13-5FAF-498476242B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6D63806" w14:textId="77777777" w:rsidR="008A4C65" w:rsidRDefault="008A4C65">
      <w:pPr>
        <w:pStyle w:val="BodyText"/>
        <w:spacing w:before="3"/>
        <w:jc w:val="left"/>
        <w:rPr>
          <w:u w:val="single"/>
        </w:rPr>
      </w:pPr>
    </w:p>
    <w:p w14:paraId="3C7A0B7D" w14:textId="77777777" w:rsidR="008A4C65" w:rsidRDefault="008A4C65">
      <w:pPr>
        <w:pStyle w:val="BodyText"/>
        <w:spacing w:before="3"/>
        <w:jc w:val="left"/>
        <w:rPr>
          <w:u w:val="single"/>
        </w:rPr>
      </w:pPr>
    </w:p>
    <w:p w14:paraId="6E5D66EA" w14:textId="77777777" w:rsidR="008A4C65" w:rsidRDefault="008A4C65">
      <w:pPr>
        <w:pStyle w:val="BodyText"/>
        <w:spacing w:before="3"/>
        <w:jc w:val="left"/>
        <w:rPr>
          <w:u w:val="single"/>
        </w:rPr>
      </w:pPr>
    </w:p>
    <w:p w14:paraId="514A2818" w14:textId="77777777" w:rsidR="008A4C65" w:rsidRDefault="008A4C65">
      <w:pPr>
        <w:pStyle w:val="BodyText"/>
        <w:spacing w:before="3"/>
        <w:jc w:val="left"/>
        <w:rPr>
          <w:u w:val="single"/>
        </w:rPr>
      </w:pPr>
    </w:p>
    <w:p w14:paraId="4C44AC0F" w14:textId="77777777" w:rsidR="008A4C65" w:rsidRDefault="008A4C65">
      <w:pPr>
        <w:pStyle w:val="BodyText"/>
        <w:spacing w:before="3"/>
        <w:jc w:val="left"/>
        <w:rPr>
          <w:u w:val="single"/>
        </w:rPr>
      </w:pPr>
    </w:p>
    <w:p w14:paraId="1850511D" w14:textId="77777777" w:rsidR="008A4C65" w:rsidRDefault="008A4C65">
      <w:pPr>
        <w:pStyle w:val="BodyText"/>
        <w:spacing w:before="3"/>
        <w:jc w:val="left"/>
        <w:rPr>
          <w:u w:val="single"/>
        </w:rPr>
      </w:pPr>
    </w:p>
    <w:p w14:paraId="4DD437DF" w14:textId="77777777" w:rsidR="008A4C65" w:rsidRDefault="008A4C65">
      <w:pPr>
        <w:pStyle w:val="BodyText"/>
        <w:spacing w:before="3"/>
        <w:jc w:val="left"/>
        <w:rPr>
          <w:u w:val="single"/>
        </w:rPr>
      </w:pPr>
    </w:p>
    <w:p w14:paraId="2862D5FC" w14:textId="77777777" w:rsidR="008A4C65" w:rsidRDefault="008A4C65">
      <w:pPr>
        <w:pStyle w:val="BodyText"/>
        <w:spacing w:before="3"/>
        <w:jc w:val="left"/>
        <w:rPr>
          <w:u w:val="single"/>
        </w:rPr>
      </w:pPr>
    </w:p>
    <w:p w14:paraId="13F53830" w14:textId="77777777" w:rsidR="008A4C65" w:rsidRDefault="008A4C65">
      <w:pPr>
        <w:pStyle w:val="BodyText"/>
        <w:spacing w:before="3"/>
        <w:jc w:val="left"/>
        <w:rPr>
          <w:u w:val="single"/>
        </w:rPr>
      </w:pPr>
    </w:p>
    <w:p w14:paraId="650B58B1" w14:textId="77777777" w:rsidR="008A4C65" w:rsidRDefault="008A4C65">
      <w:pPr>
        <w:pStyle w:val="BodyText"/>
        <w:spacing w:before="3"/>
        <w:jc w:val="left"/>
        <w:rPr>
          <w:u w:val="single"/>
        </w:rPr>
      </w:pPr>
    </w:p>
    <w:p w14:paraId="32AD7EA4" w14:textId="77777777" w:rsidR="008A4C65" w:rsidRDefault="008A4C65">
      <w:pPr>
        <w:pStyle w:val="BodyText"/>
        <w:spacing w:before="3"/>
        <w:jc w:val="left"/>
        <w:rPr>
          <w:u w:val="single"/>
        </w:rPr>
      </w:pPr>
    </w:p>
    <w:p w14:paraId="684F5F79" w14:textId="184C375A" w:rsidR="008A4C65" w:rsidRDefault="008A4C65">
      <w:pPr>
        <w:pStyle w:val="BodyText"/>
        <w:spacing w:before="3"/>
        <w:jc w:val="left"/>
        <w:rPr>
          <w:u w:val="single"/>
        </w:rPr>
      </w:pPr>
    </w:p>
    <w:p w14:paraId="3D8FE6EA" w14:textId="77777777" w:rsidR="008834AE" w:rsidRDefault="008834AE" w:rsidP="008834AE">
      <w:pPr>
        <w:pStyle w:val="BodyText"/>
        <w:spacing w:before="3"/>
        <w:jc w:val="left"/>
        <w:rPr>
          <w:u w:val="single"/>
        </w:rPr>
      </w:pPr>
      <w:r>
        <w:rPr>
          <w:u w:val="single"/>
        </w:rPr>
        <w:t>Disengagement Rates (Did Not Attend (DNA))</w:t>
      </w:r>
    </w:p>
    <w:p w14:paraId="549A770C" w14:textId="77777777" w:rsidR="008834AE" w:rsidRDefault="008834AE" w:rsidP="008834AE">
      <w:pPr>
        <w:pStyle w:val="BodyText"/>
        <w:spacing w:before="3"/>
        <w:jc w:val="left"/>
      </w:pPr>
    </w:p>
    <w:p w14:paraId="44D5F19C" w14:textId="77777777" w:rsidR="008834AE" w:rsidRPr="00491227" w:rsidRDefault="008834AE" w:rsidP="008834AE">
      <w:pPr>
        <w:pStyle w:val="Default"/>
        <w:spacing w:line="360" w:lineRule="auto"/>
        <w:ind w:left="142"/>
        <w:rPr>
          <w:sz w:val="22"/>
          <w:szCs w:val="22"/>
        </w:rPr>
      </w:pPr>
      <w:r w:rsidRPr="00491227">
        <w:rPr>
          <w:sz w:val="22"/>
          <w:szCs w:val="22"/>
        </w:rPr>
        <w:t xml:space="preserve">Data: For all contacts in the calendar year 2022, the attendance rate was extracted. The categories reported on include, attended, cancelled and DNA. </w:t>
      </w:r>
    </w:p>
    <w:p w14:paraId="5EA2B6E0" w14:textId="77777777" w:rsidR="008834AE" w:rsidRPr="00491227" w:rsidRDefault="008834AE" w:rsidP="008834AE">
      <w:pPr>
        <w:pStyle w:val="Default"/>
        <w:spacing w:line="360" w:lineRule="auto"/>
        <w:ind w:left="142"/>
        <w:rPr>
          <w:sz w:val="22"/>
          <w:szCs w:val="22"/>
        </w:rPr>
      </w:pPr>
      <w:r w:rsidRPr="00491227">
        <w:rPr>
          <w:sz w:val="22"/>
          <w:szCs w:val="22"/>
        </w:rPr>
        <w:t xml:space="preserve">Analysis: Descriptive statistics were utilised to assess any differences across protected groups in relation to rates of disengagement with the Trust. </w:t>
      </w:r>
    </w:p>
    <w:p w14:paraId="234E9AF9" w14:textId="77777777" w:rsidR="008834AE" w:rsidRPr="00491227" w:rsidRDefault="008834AE" w:rsidP="008834AE">
      <w:pPr>
        <w:pStyle w:val="Default"/>
        <w:spacing w:line="360" w:lineRule="auto"/>
        <w:ind w:left="142"/>
        <w:rPr>
          <w:sz w:val="22"/>
          <w:szCs w:val="22"/>
        </w:rPr>
      </w:pPr>
      <w:r w:rsidRPr="00491227">
        <w:rPr>
          <w:sz w:val="22"/>
          <w:szCs w:val="22"/>
        </w:rPr>
        <w:t xml:space="preserve">Results: </w:t>
      </w:r>
    </w:p>
    <w:p w14:paraId="199C1601" w14:textId="77777777" w:rsidR="008834AE" w:rsidRPr="00491227" w:rsidRDefault="008834AE" w:rsidP="008834AE">
      <w:pPr>
        <w:pStyle w:val="Default"/>
        <w:spacing w:line="360" w:lineRule="auto"/>
        <w:ind w:left="142"/>
        <w:rPr>
          <w:sz w:val="22"/>
          <w:szCs w:val="22"/>
        </w:rPr>
      </w:pPr>
    </w:p>
    <w:p w14:paraId="1404EC26" w14:textId="77777777" w:rsidR="008834AE" w:rsidRPr="00491227" w:rsidRDefault="008834AE" w:rsidP="008834AE">
      <w:pPr>
        <w:pStyle w:val="Default"/>
        <w:spacing w:line="360" w:lineRule="auto"/>
        <w:ind w:left="142"/>
        <w:rPr>
          <w:sz w:val="22"/>
          <w:szCs w:val="22"/>
        </w:rPr>
      </w:pPr>
      <w:r w:rsidRPr="00491227">
        <w:rPr>
          <w:sz w:val="22"/>
          <w:szCs w:val="22"/>
        </w:rPr>
        <w:t xml:space="preserve">Ethnicity: </w:t>
      </w:r>
    </w:p>
    <w:p w14:paraId="1BE421BC" w14:textId="77777777" w:rsidR="008834AE" w:rsidRPr="00491227" w:rsidRDefault="008834AE" w:rsidP="008834AE">
      <w:pPr>
        <w:pStyle w:val="Default"/>
        <w:spacing w:line="360" w:lineRule="auto"/>
        <w:ind w:left="142"/>
        <w:rPr>
          <w:sz w:val="22"/>
          <w:szCs w:val="22"/>
        </w:rPr>
      </w:pPr>
      <w:r w:rsidRPr="00491227">
        <w:rPr>
          <w:sz w:val="22"/>
          <w:szCs w:val="22"/>
        </w:rPr>
        <w:t xml:space="preserve">Across all groups at an aggregated level, the DNA rate for contacts was approximately 6%, cancelled appointments accounted for 2% and attended 92%, each of these figures are on improvement on last year’s figures, with the attended percentage being 83% last year. </w:t>
      </w:r>
    </w:p>
    <w:p w14:paraId="19EED80E" w14:textId="77777777" w:rsidR="008834AE" w:rsidRPr="00491227" w:rsidRDefault="008834AE" w:rsidP="008834AE">
      <w:pPr>
        <w:pStyle w:val="Default"/>
        <w:spacing w:line="360" w:lineRule="auto"/>
        <w:ind w:left="142"/>
        <w:rPr>
          <w:sz w:val="22"/>
          <w:szCs w:val="22"/>
        </w:rPr>
      </w:pPr>
    </w:p>
    <w:p w14:paraId="7AE351BF" w14:textId="77777777" w:rsidR="008834AE" w:rsidRPr="00491227" w:rsidRDefault="008834AE" w:rsidP="008834AE">
      <w:pPr>
        <w:pStyle w:val="Default"/>
        <w:spacing w:line="360" w:lineRule="auto"/>
        <w:ind w:left="142"/>
        <w:rPr>
          <w:sz w:val="22"/>
          <w:szCs w:val="22"/>
        </w:rPr>
      </w:pPr>
      <w:r w:rsidRPr="00491227">
        <w:rPr>
          <w:sz w:val="22"/>
          <w:szCs w:val="22"/>
        </w:rPr>
        <w:t xml:space="preserve">The highest rates of disengagement were found in the mixed – White/Black Caribbean ethnicity 13% of appointments recorded as DNA. This is higher than the average rate for all groups. All other groups were comparable. </w:t>
      </w:r>
    </w:p>
    <w:p w14:paraId="7DC40338" w14:textId="77777777" w:rsidR="008834AE" w:rsidRPr="00491227" w:rsidRDefault="008834AE" w:rsidP="008834AE">
      <w:pPr>
        <w:pStyle w:val="Default"/>
        <w:spacing w:line="360" w:lineRule="auto"/>
        <w:ind w:left="142"/>
        <w:rPr>
          <w:sz w:val="22"/>
          <w:szCs w:val="22"/>
        </w:rPr>
      </w:pPr>
    </w:p>
    <w:p w14:paraId="63BC7ED7" w14:textId="77777777" w:rsidR="008834AE" w:rsidRPr="00491227" w:rsidRDefault="008834AE" w:rsidP="008834AE">
      <w:pPr>
        <w:pStyle w:val="Default"/>
        <w:spacing w:line="360" w:lineRule="auto"/>
        <w:ind w:left="142"/>
        <w:rPr>
          <w:sz w:val="22"/>
          <w:szCs w:val="22"/>
        </w:rPr>
      </w:pPr>
      <w:r w:rsidRPr="00491227">
        <w:rPr>
          <w:sz w:val="22"/>
          <w:szCs w:val="22"/>
        </w:rPr>
        <w:t xml:space="preserve">Marital Status: </w:t>
      </w:r>
    </w:p>
    <w:p w14:paraId="515AF5EA" w14:textId="77777777" w:rsidR="008834AE" w:rsidRPr="00491227" w:rsidRDefault="008834AE" w:rsidP="008834AE">
      <w:pPr>
        <w:pStyle w:val="Default"/>
        <w:spacing w:line="360" w:lineRule="auto"/>
        <w:ind w:left="142"/>
        <w:rPr>
          <w:sz w:val="22"/>
          <w:szCs w:val="22"/>
        </w:rPr>
      </w:pPr>
      <w:r w:rsidRPr="00491227">
        <w:rPr>
          <w:sz w:val="22"/>
          <w:szCs w:val="22"/>
        </w:rPr>
        <w:t xml:space="preserve">DNA rates were highest in the groups categorised as In a Relationship (9%) and Living with a partner (8%). All other groups had similar figures recorded for DNA, apart from surviving partner/widowed which had significantly lower DNA rates with only 1% of appointments not attended. </w:t>
      </w:r>
    </w:p>
    <w:p w14:paraId="2998FCDB" w14:textId="77777777" w:rsidR="008834AE" w:rsidRPr="00491227" w:rsidRDefault="008834AE" w:rsidP="008834AE">
      <w:pPr>
        <w:pStyle w:val="Default"/>
        <w:spacing w:line="360" w:lineRule="auto"/>
        <w:ind w:left="142"/>
        <w:rPr>
          <w:sz w:val="22"/>
          <w:szCs w:val="22"/>
        </w:rPr>
      </w:pPr>
    </w:p>
    <w:p w14:paraId="6D293825" w14:textId="77777777" w:rsidR="008834AE" w:rsidRPr="00491227" w:rsidRDefault="008834AE" w:rsidP="008834AE">
      <w:pPr>
        <w:pStyle w:val="Default"/>
        <w:spacing w:line="360" w:lineRule="auto"/>
        <w:ind w:left="142"/>
        <w:rPr>
          <w:sz w:val="22"/>
          <w:szCs w:val="22"/>
        </w:rPr>
      </w:pPr>
      <w:r w:rsidRPr="00491227">
        <w:rPr>
          <w:sz w:val="22"/>
          <w:szCs w:val="22"/>
        </w:rPr>
        <w:t xml:space="preserve">Gender: </w:t>
      </w:r>
    </w:p>
    <w:p w14:paraId="615BD46E" w14:textId="77777777" w:rsidR="008834AE" w:rsidRPr="00491227" w:rsidRDefault="008834AE" w:rsidP="008834AE">
      <w:pPr>
        <w:pStyle w:val="Default"/>
        <w:spacing w:line="360" w:lineRule="auto"/>
        <w:ind w:left="142"/>
        <w:rPr>
          <w:sz w:val="22"/>
          <w:szCs w:val="22"/>
        </w:rPr>
      </w:pPr>
      <w:r w:rsidRPr="00491227">
        <w:rPr>
          <w:sz w:val="22"/>
          <w:szCs w:val="22"/>
        </w:rPr>
        <w:t xml:space="preserve">The highest rates of disengagement were recorded within the genders identifying as </w:t>
      </w:r>
      <w:proofErr w:type="spellStart"/>
      <w:r w:rsidRPr="00491227">
        <w:rPr>
          <w:sz w:val="22"/>
          <w:szCs w:val="22"/>
        </w:rPr>
        <w:t>Birthsex</w:t>
      </w:r>
      <w:proofErr w:type="spellEnd"/>
      <w:r w:rsidRPr="00491227">
        <w:rPr>
          <w:sz w:val="22"/>
          <w:szCs w:val="22"/>
        </w:rPr>
        <w:t xml:space="preserve"> Male – Gender neutral (10%) and Other (not listed) (10%). All other groups were aligned to the average. </w:t>
      </w:r>
    </w:p>
    <w:p w14:paraId="1AF17CDE" w14:textId="77777777" w:rsidR="008834AE" w:rsidRPr="00491227" w:rsidRDefault="008834AE" w:rsidP="008834AE">
      <w:pPr>
        <w:pStyle w:val="Default"/>
        <w:spacing w:line="360" w:lineRule="auto"/>
        <w:ind w:left="142"/>
        <w:rPr>
          <w:sz w:val="22"/>
          <w:szCs w:val="22"/>
        </w:rPr>
      </w:pPr>
    </w:p>
    <w:p w14:paraId="3D50229F" w14:textId="77777777" w:rsidR="008834AE" w:rsidRPr="00491227" w:rsidRDefault="008834AE" w:rsidP="008834AE">
      <w:pPr>
        <w:pStyle w:val="Default"/>
        <w:spacing w:line="360" w:lineRule="auto"/>
        <w:ind w:left="142"/>
        <w:rPr>
          <w:sz w:val="22"/>
          <w:szCs w:val="22"/>
        </w:rPr>
      </w:pPr>
      <w:r w:rsidRPr="00491227">
        <w:rPr>
          <w:sz w:val="22"/>
          <w:szCs w:val="22"/>
        </w:rPr>
        <w:t xml:space="preserve">Religion: </w:t>
      </w:r>
    </w:p>
    <w:p w14:paraId="464CFCA9" w14:textId="77777777" w:rsidR="008834AE" w:rsidRPr="00491227" w:rsidRDefault="008834AE" w:rsidP="008834AE">
      <w:pPr>
        <w:pStyle w:val="Default"/>
        <w:spacing w:line="360" w:lineRule="auto"/>
        <w:ind w:left="142"/>
        <w:rPr>
          <w:sz w:val="22"/>
          <w:szCs w:val="22"/>
        </w:rPr>
      </w:pPr>
      <w:r w:rsidRPr="00491227">
        <w:rPr>
          <w:sz w:val="22"/>
          <w:szCs w:val="22"/>
        </w:rPr>
        <w:t xml:space="preserve">The greatest proportion of contacts not attended belonged to patients who are part of the BAHA’I faith (32%), followed by Sikh (14%). No other significant differences were observed. </w:t>
      </w:r>
      <w:r>
        <w:rPr>
          <w:sz w:val="22"/>
          <w:szCs w:val="22"/>
        </w:rPr>
        <w:br/>
        <w:t xml:space="preserve">     </w:t>
      </w:r>
      <w:r w:rsidRPr="00491227">
        <w:rPr>
          <w:sz w:val="22"/>
          <w:szCs w:val="22"/>
        </w:rPr>
        <w:br/>
      </w:r>
    </w:p>
    <w:p w14:paraId="1285C380" w14:textId="77777777" w:rsidR="008834AE" w:rsidRPr="00491227" w:rsidRDefault="008834AE" w:rsidP="008834AE">
      <w:pPr>
        <w:pStyle w:val="Default"/>
        <w:spacing w:line="360" w:lineRule="auto"/>
        <w:ind w:left="142"/>
        <w:rPr>
          <w:sz w:val="22"/>
          <w:szCs w:val="22"/>
        </w:rPr>
      </w:pPr>
      <w:r w:rsidRPr="00491227">
        <w:rPr>
          <w:sz w:val="22"/>
          <w:szCs w:val="22"/>
        </w:rPr>
        <w:t xml:space="preserve">Sexual Orientation: </w:t>
      </w:r>
    </w:p>
    <w:p w14:paraId="30A9D2C1" w14:textId="77777777" w:rsidR="008834AE" w:rsidRDefault="008834AE" w:rsidP="008834AE">
      <w:pPr>
        <w:pStyle w:val="Default"/>
        <w:spacing w:line="360" w:lineRule="auto"/>
        <w:ind w:left="142"/>
        <w:rPr>
          <w:sz w:val="22"/>
          <w:szCs w:val="22"/>
        </w:rPr>
      </w:pPr>
      <w:r w:rsidRPr="00491227">
        <w:rPr>
          <w:sz w:val="22"/>
          <w:szCs w:val="22"/>
        </w:rPr>
        <w:t xml:space="preserve">Disengagement rates were highest in patients identifying as Gay/Lesbian (8%) and Bi-sexual (9%). No other DNA rates deviated from the mean. These findings echo last </w:t>
      </w:r>
      <w:proofErr w:type="spellStart"/>
      <w:r w:rsidRPr="00491227">
        <w:rPr>
          <w:sz w:val="22"/>
          <w:szCs w:val="22"/>
        </w:rPr>
        <w:t>years</w:t>
      </w:r>
      <w:proofErr w:type="spellEnd"/>
      <w:r w:rsidRPr="00491227">
        <w:rPr>
          <w:sz w:val="22"/>
          <w:szCs w:val="22"/>
        </w:rPr>
        <w:t xml:space="preserve"> findings.  </w:t>
      </w:r>
    </w:p>
    <w:p w14:paraId="7E06F400" w14:textId="77777777" w:rsidR="008834AE" w:rsidRPr="00491227" w:rsidRDefault="008834AE" w:rsidP="008834AE">
      <w:pPr>
        <w:pStyle w:val="Default"/>
        <w:spacing w:line="360" w:lineRule="auto"/>
        <w:ind w:left="142"/>
        <w:rPr>
          <w:sz w:val="22"/>
          <w:szCs w:val="22"/>
        </w:rPr>
      </w:pPr>
    </w:p>
    <w:p w14:paraId="6BCBA58C" w14:textId="77777777" w:rsidR="008834AE" w:rsidRPr="00491227" w:rsidRDefault="008834AE" w:rsidP="008834AE">
      <w:pPr>
        <w:pStyle w:val="Default"/>
        <w:spacing w:line="360" w:lineRule="auto"/>
        <w:ind w:left="142"/>
        <w:rPr>
          <w:sz w:val="22"/>
          <w:szCs w:val="22"/>
        </w:rPr>
      </w:pPr>
    </w:p>
    <w:p w14:paraId="7E9AEE4E" w14:textId="77777777" w:rsidR="008834AE" w:rsidRPr="00491227" w:rsidRDefault="008834AE" w:rsidP="008834AE">
      <w:pPr>
        <w:pStyle w:val="Default"/>
        <w:spacing w:line="360" w:lineRule="auto"/>
        <w:ind w:left="142"/>
        <w:rPr>
          <w:sz w:val="22"/>
          <w:szCs w:val="22"/>
        </w:rPr>
      </w:pPr>
      <w:r w:rsidRPr="00491227">
        <w:rPr>
          <w:sz w:val="22"/>
          <w:szCs w:val="22"/>
        </w:rPr>
        <w:t xml:space="preserve">Age: </w:t>
      </w:r>
    </w:p>
    <w:p w14:paraId="18B52FAF" w14:textId="195EB5E4" w:rsidR="008834AE" w:rsidRDefault="008834AE" w:rsidP="008834AE">
      <w:pPr>
        <w:pStyle w:val="Default"/>
        <w:spacing w:line="360" w:lineRule="auto"/>
        <w:ind w:left="142"/>
        <w:rPr>
          <w:sz w:val="22"/>
          <w:szCs w:val="22"/>
        </w:rPr>
      </w:pPr>
      <w:r w:rsidRPr="00491227">
        <w:rPr>
          <w:sz w:val="22"/>
          <w:szCs w:val="22"/>
        </w:rPr>
        <w:t>Significantly low rates of disengagement were observed in the 65+ age group (only 1%) as well as cancelled appointments (1%). In contrast, patients aged 18-29 displayed DNA rates of 9%</w:t>
      </w:r>
      <w:r w:rsidR="003C741C">
        <w:rPr>
          <w:sz w:val="22"/>
          <w:szCs w:val="22"/>
        </w:rPr>
        <w:t>.</w:t>
      </w:r>
      <w:r w:rsidR="005B540A">
        <w:rPr>
          <w:sz w:val="22"/>
          <w:szCs w:val="22"/>
        </w:rPr>
        <w:t xml:space="preserve"> Below is a table which shows the number and percentage of </w:t>
      </w:r>
      <w:r w:rsidR="00EC0F82">
        <w:rPr>
          <w:sz w:val="22"/>
          <w:szCs w:val="22"/>
        </w:rPr>
        <w:t>attended, cancelled and DNA, broken down by religion.</w:t>
      </w:r>
    </w:p>
    <w:p w14:paraId="61749C74" w14:textId="51A309EC" w:rsidR="00EC0F82" w:rsidRDefault="00EC0F82" w:rsidP="008834AE">
      <w:pPr>
        <w:pStyle w:val="Default"/>
        <w:spacing w:line="360" w:lineRule="auto"/>
        <w:ind w:left="142"/>
        <w:rPr>
          <w:sz w:val="22"/>
          <w:szCs w:val="22"/>
        </w:rPr>
      </w:pPr>
    </w:p>
    <w:p w14:paraId="76C07F45" w14:textId="330A7384" w:rsidR="00EC0F82" w:rsidRPr="00EC0F82" w:rsidRDefault="00EC0F82" w:rsidP="008834AE">
      <w:pPr>
        <w:pStyle w:val="Default"/>
        <w:spacing w:line="360" w:lineRule="auto"/>
        <w:ind w:left="142"/>
        <w:rPr>
          <w:i/>
          <w:iCs/>
          <w:sz w:val="22"/>
          <w:szCs w:val="22"/>
        </w:rPr>
      </w:pPr>
      <w:r w:rsidRPr="00EC0F82">
        <w:rPr>
          <w:i/>
          <w:iCs/>
          <w:sz w:val="22"/>
          <w:szCs w:val="22"/>
        </w:rPr>
        <w:t>Table 5: Attended, cancelled and DNA appointments broken down by religion.</w:t>
      </w:r>
    </w:p>
    <w:p w14:paraId="79F2FE19" w14:textId="4C14534A" w:rsidR="008834AE" w:rsidRPr="00491227" w:rsidRDefault="003C741C" w:rsidP="008834AE">
      <w:pPr>
        <w:pStyle w:val="Default"/>
        <w:spacing w:line="360" w:lineRule="auto"/>
        <w:ind w:left="142" w:firstLine="578"/>
        <w:rPr>
          <w:sz w:val="22"/>
          <w:szCs w:val="22"/>
        </w:rPr>
      </w:pPr>
      <w:r w:rsidRPr="003C741C">
        <w:rPr>
          <w:noProof/>
        </w:rPr>
        <w:drawing>
          <wp:inline distT="0" distB="0" distL="0" distR="0" wp14:anchorId="3C8F5F9B" wp14:editId="7B64639B">
            <wp:extent cx="5191125" cy="2892332"/>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28907" cy="2913383"/>
                    </a:xfrm>
                    <a:prstGeom prst="rect">
                      <a:avLst/>
                    </a:prstGeom>
                    <a:noFill/>
                    <a:ln>
                      <a:noFill/>
                    </a:ln>
                  </pic:spPr>
                </pic:pic>
              </a:graphicData>
            </a:graphic>
          </wp:inline>
        </w:drawing>
      </w:r>
    </w:p>
    <w:p w14:paraId="7A0B07C1" w14:textId="77777777" w:rsidR="008834AE" w:rsidRPr="00491227" w:rsidRDefault="008834AE" w:rsidP="008834AE">
      <w:pPr>
        <w:pStyle w:val="Default"/>
        <w:spacing w:line="360" w:lineRule="auto"/>
        <w:ind w:left="142"/>
        <w:rPr>
          <w:color w:val="auto"/>
          <w:sz w:val="22"/>
          <w:szCs w:val="22"/>
        </w:rPr>
      </w:pPr>
    </w:p>
    <w:p w14:paraId="14356EED" w14:textId="77777777" w:rsidR="008834AE" w:rsidRDefault="008834AE" w:rsidP="008834AE">
      <w:pPr>
        <w:spacing w:line="360" w:lineRule="auto"/>
        <w:sectPr w:rsidR="008834AE">
          <w:pgSz w:w="11910" w:h="16840"/>
          <w:pgMar w:top="1720" w:right="1320" w:bottom="1200" w:left="1320" w:header="708" w:footer="920" w:gutter="0"/>
          <w:cols w:space="720"/>
        </w:sectPr>
      </w:pPr>
    </w:p>
    <w:p w14:paraId="60ED3EA8" w14:textId="77777777" w:rsidR="008834AE" w:rsidRDefault="008834AE" w:rsidP="008834AE">
      <w:pPr>
        <w:pStyle w:val="BodyText"/>
        <w:spacing w:before="3"/>
      </w:pPr>
      <w:bookmarkStart w:id="9" w:name="_bookmark7"/>
      <w:bookmarkEnd w:id="9"/>
      <w:r>
        <w:rPr>
          <w:u w:val="single"/>
        </w:rPr>
        <w:t>Clinical Outcomes</w:t>
      </w:r>
    </w:p>
    <w:p w14:paraId="08899497"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Data: For patients discharged between 1st January 22 and 31st December 21 clinical outcome measurement data was extracted. This was split at speciality level (Adult and MHSOP and Children and Young People (CYP)) due to the different measures utilised within the services. The data extracted provided information in relation to which patients had a paired measure (outcome measure repeated a minimum of twice) and for those who had a pair, the outcome achieved was measured (treatment efficacy). For Adult and MHSOP services, a model of clinical significance was used to evaluate change, for CYP, direction of change was assessed. </w:t>
      </w:r>
    </w:p>
    <w:p w14:paraId="21162B5D" w14:textId="77777777" w:rsidR="008834AE" w:rsidRPr="00491227" w:rsidRDefault="008834AE" w:rsidP="008834AE">
      <w:pPr>
        <w:pStyle w:val="Default"/>
        <w:spacing w:line="360" w:lineRule="auto"/>
        <w:ind w:left="142"/>
        <w:rPr>
          <w:color w:val="auto"/>
          <w:sz w:val="22"/>
          <w:szCs w:val="22"/>
        </w:rPr>
      </w:pPr>
    </w:p>
    <w:p w14:paraId="6A8A65B3"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Analysis: Descriptive analytics were utilised to evaluate clinical outcomes and a model of clinical significance was applied, where possible, to measure treatment effect. Clinical significance is concerned with whether the change observed is a) statistically reliable and b) clinically meaningful. Both clinician and patient perspectives were considered. Groups with fewer than 5 members were removed from the analysis </w:t>
      </w:r>
      <w:proofErr w:type="gramStart"/>
      <w:r w:rsidRPr="00491227">
        <w:rPr>
          <w:color w:val="auto"/>
          <w:sz w:val="22"/>
          <w:szCs w:val="22"/>
        </w:rPr>
        <w:t>so as to</w:t>
      </w:r>
      <w:proofErr w:type="gramEnd"/>
      <w:r w:rsidRPr="00491227">
        <w:rPr>
          <w:color w:val="auto"/>
          <w:sz w:val="22"/>
          <w:szCs w:val="22"/>
        </w:rPr>
        <w:t xml:space="preserve"> not skew the proportions and make comparisons across groups valid. </w:t>
      </w:r>
    </w:p>
    <w:p w14:paraId="5A6C78D7" w14:textId="77777777" w:rsidR="008834AE" w:rsidRPr="00491227" w:rsidRDefault="008834AE" w:rsidP="008834AE">
      <w:pPr>
        <w:pStyle w:val="Default"/>
        <w:spacing w:line="360" w:lineRule="auto"/>
        <w:ind w:left="142"/>
        <w:rPr>
          <w:color w:val="auto"/>
          <w:sz w:val="22"/>
          <w:szCs w:val="22"/>
        </w:rPr>
      </w:pPr>
    </w:p>
    <w:p w14:paraId="0E64B0C4"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Results </w:t>
      </w:r>
    </w:p>
    <w:p w14:paraId="47DE0ED1" w14:textId="77777777" w:rsidR="008834AE" w:rsidRPr="00491227" w:rsidRDefault="008834AE" w:rsidP="008834AE">
      <w:pPr>
        <w:pStyle w:val="Default"/>
        <w:spacing w:line="360" w:lineRule="auto"/>
        <w:ind w:left="142"/>
        <w:rPr>
          <w:color w:val="auto"/>
          <w:sz w:val="22"/>
          <w:szCs w:val="22"/>
        </w:rPr>
      </w:pPr>
    </w:p>
    <w:p w14:paraId="2CEB49EF"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Ethnicity: </w:t>
      </w:r>
    </w:p>
    <w:p w14:paraId="59801FC7" w14:textId="77777777" w:rsidR="008834AE" w:rsidRPr="00491227" w:rsidRDefault="008834AE" w:rsidP="008834AE">
      <w:pPr>
        <w:pStyle w:val="Default"/>
        <w:spacing w:line="360" w:lineRule="auto"/>
        <w:ind w:left="142"/>
        <w:rPr>
          <w:color w:val="auto"/>
          <w:sz w:val="22"/>
          <w:szCs w:val="22"/>
        </w:rPr>
      </w:pPr>
    </w:p>
    <w:p w14:paraId="234FF9D9" w14:textId="77777777" w:rsidR="008834AE" w:rsidRPr="00491227" w:rsidRDefault="008834AE" w:rsidP="008834AE">
      <w:pPr>
        <w:pStyle w:val="Default"/>
        <w:spacing w:line="360" w:lineRule="auto"/>
        <w:ind w:left="142"/>
        <w:rPr>
          <w:color w:val="auto"/>
          <w:sz w:val="22"/>
          <w:szCs w:val="22"/>
        </w:rPr>
      </w:pPr>
      <w:r w:rsidRPr="00491227">
        <w:rPr>
          <w:i/>
          <w:iCs/>
          <w:color w:val="auto"/>
          <w:sz w:val="22"/>
          <w:szCs w:val="22"/>
        </w:rPr>
        <w:t xml:space="preserve">Adult and MHSOP </w:t>
      </w:r>
    </w:p>
    <w:p w14:paraId="4E30CA87"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The outcome measures extracted for Adult and MHSOP services were the Health of the Nation Outcome Scales (</w:t>
      </w:r>
      <w:proofErr w:type="spellStart"/>
      <w:r w:rsidRPr="00491227">
        <w:rPr>
          <w:color w:val="auto"/>
          <w:sz w:val="22"/>
          <w:szCs w:val="22"/>
        </w:rPr>
        <w:t>HoNOS</w:t>
      </w:r>
      <w:proofErr w:type="spellEnd"/>
      <w:r w:rsidRPr="00491227">
        <w:rPr>
          <w:color w:val="auto"/>
          <w:sz w:val="22"/>
          <w:szCs w:val="22"/>
        </w:rPr>
        <w:t xml:space="preserve"> – Clinician perspective) and the Short Warwick Edinburgh Mental Well-Being Scale (SWEMWBS – Patient Perspective). </w:t>
      </w:r>
    </w:p>
    <w:p w14:paraId="40D68EEF"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The compliance with paired measures being recorded varied across ethnicity. The ethnic groups with the greatest proportion without a paired </w:t>
      </w:r>
      <w:proofErr w:type="spellStart"/>
      <w:r w:rsidRPr="00491227">
        <w:rPr>
          <w:color w:val="auto"/>
          <w:sz w:val="22"/>
          <w:szCs w:val="22"/>
        </w:rPr>
        <w:t>HoNOS</w:t>
      </w:r>
      <w:proofErr w:type="spellEnd"/>
      <w:r w:rsidRPr="00491227">
        <w:rPr>
          <w:color w:val="auto"/>
          <w:sz w:val="22"/>
          <w:szCs w:val="22"/>
        </w:rPr>
        <w:t xml:space="preserve"> were White-Gypsy (44%) and Mixed White/black African (29%). However, numbers within these groups were relatively small, significantly impacting on the proportions. As a comparator, White British, the largest group, had 19% without a paired measure. </w:t>
      </w:r>
    </w:p>
    <w:p w14:paraId="02364444" w14:textId="0A5D2CDE" w:rsidR="008834AE" w:rsidRDefault="008834AE" w:rsidP="008834AE">
      <w:pPr>
        <w:pStyle w:val="Default"/>
        <w:spacing w:line="360" w:lineRule="auto"/>
        <w:ind w:left="142"/>
        <w:rPr>
          <w:color w:val="auto"/>
          <w:sz w:val="22"/>
          <w:szCs w:val="22"/>
        </w:rPr>
      </w:pPr>
      <w:r w:rsidRPr="00491227">
        <w:rPr>
          <w:color w:val="auto"/>
          <w:sz w:val="22"/>
          <w:szCs w:val="22"/>
        </w:rPr>
        <w:t>For the patient rated measure (SWEMWBS), the ethnicities with the greatest proportion without paired measures recorded were White Gypsy (67%),</w:t>
      </w:r>
      <w:r>
        <w:rPr>
          <w:color w:val="auto"/>
          <w:sz w:val="22"/>
          <w:szCs w:val="22"/>
        </w:rPr>
        <w:t xml:space="preserve"> White – Irish (50%</w:t>
      </w:r>
      <w:proofErr w:type="gramStart"/>
      <w:r>
        <w:rPr>
          <w:color w:val="auto"/>
          <w:sz w:val="22"/>
          <w:szCs w:val="22"/>
        </w:rPr>
        <w:t xml:space="preserve">), </w:t>
      </w:r>
      <w:r w:rsidRPr="00491227">
        <w:rPr>
          <w:color w:val="auto"/>
          <w:sz w:val="22"/>
          <w:szCs w:val="22"/>
        </w:rPr>
        <w:t xml:space="preserve"> Asian</w:t>
      </w:r>
      <w:proofErr w:type="gramEnd"/>
      <w:r w:rsidRPr="00491227">
        <w:rPr>
          <w:color w:val="auto"/>
          <w:sz w:val="22"/>
          <w:szCs w:val="22"/>
        </w:rPr>
        <w:t xml:space="preserve">/Asian British Chinese (50%) and Asian/Asian British Pakistani (48%). </w:t>
      </w:r>
      <w:r w:rsidR="00EC0F82">
        <w:rPr>
          <w:color w:val="auto"/>
          <w:sz w:val="22"/>
          <w:szCs w:val="22"/>
        </w:rPr>
        <w:t xml:space="preserve">Below is a table which shows the total number of patients who do not have a paired SWEMWBS </w:t>
      </w:r>
      <w:r w:rsidR="00C81147">
        <w:rPr>
          <w:color w:val="auto"/>
          <w:sz w:val="22"/>
          <w:szCs w:val="22"/>
        </w:rPr>
        <w:t xml:space="preserve">or a </w:t>
      </w:r>
      <w:proofErr w:type="gramStart"/>
      <w:r w:rsidR="00C81147">
        <w:rPr>
          <w:color w:val="auto"/>
          <w:sz w:val="22"/>
          <w:szCs w:val="22"/>
        </w:rPr>
        <w:t xml:space="preserve">paired </w:t>
      </w:r>
      <w:r w:rsidR="00EC0F82">
        <w:rPr>
          <w:color w:val="auto"/>
          <w:sz w:val="22"/>
          <w:szCs w:val="22"/>
        </w:rPr>
        <w:t xml:space="preserve"> </w:t>
      </w:r>
      <w:proofErr w:type="spellStart"/>
      <w:r w:rsidR="00EC0F82">
        <w:rPr>
          <w:color w:val="auto"/>
          <w:sz w:val="22"/>
          <w:szCs w:val="22"/>
        </w:rPr>
        <w:t>HoNOS</w:t>
      </w:r>
      <w:proofErr w:type="spellEnd"/>
      <w:proofErr w:type="gramEnd"/>
      <w:r w:rsidR="00C81147">
        <w:rPr>
          <w:color w:val="auto"/>
          <w:sz w:val="22"/>
          <w:szCs w:val="22"/>
        </w:rPr>
        <w:t xml:space="preserve">, it also shows the total that </w:t>
      </w:r>
      <w:proofErr w:type="spellStart"/>
      <w:r w:rsidR="00C81147">
        <w:rPr>
          <w:color w:val="auto"/>
          <w:sz w:val="22"/>
          <w:szCs w:val="22"/>
        </w:rPr>
        <w:t>HoNOS</w:t>
      </w:r>
      <w:proofErr w:type="spellEnd"/>
      <w:r w:rsidR="00C81147">
        <w:rPr>
          <w:color w:val="auto"/>
          <w:sz w:val="22"/>
          <w:szCs w:val="22"/>
        </w:rPr>
        <w:t xml:space="preserve"> and SWEMWBS outcome can be reported for.</w:t>
      </w:r>
      <w:r w:rsidR="00EC0F82">
        <w:rPr>
          <w:color w:val="auto"/>
          <w:sz w:val="22"/>
          <w:szCs w:val="22"/>
        </w:rPr>
        <w:t xml:space="preserve"> </w:t>
      </w:r>
    </w:p>
    <w:p w14:paraId="60EAF4C0" w14:textId="30BC4F47" w:rsidR="00EC0F82" w:rsidRDefault="00EC0F82" w:rsidP="008834AE">
      <w:pPr>
        <w:pStyle w:val="Default"/>
        <w:spacing w:line="360" w:lineRule="auto"/>
        <w:ind w:left="142"/>
        <w:rPr>
          <w:color w:val="auto"/>
          <w:sz w:val="22"/>
          <w:szCs w:val="22"/>
        </w:rPr>
      </w:pPr>
    </w:p>
    <w:p w14:paraId="433A355A" w14:textId="2B1DA061" w:rsidR="00EC0F82" w:rsidRDefault="00EC0F82" w:rsidP="008834AE">
      <w:pPr>
        <w:pStyle w:val="Default"/>
        <w:spacing w:line="360" w:lineRule="auto"/>
        <w:ind w:left="142"/>
        <w:rPr>
          <w:color w:val="auto"/>
          <w:sz w:val="22"/>
          <w:szCs w:val="22"/>
        </w:rPr>
      </w:pPr>
    </w:p>
    <w:p w14:paraId="2A9E652F" w14:textId="199C7B8B" w:rsidR="00EC0F82" w:rsidRDefault="00EC0F82" w:rsidP="008834AE">
      <w:pPr>
        <w:pStyle w:val="Default"/>
        <w:spacing w:line="360" w:lineRule="auto"/>
        <w:ind w:left="142"/>
        <w:rPr>
          <w:color w:val="auto"/>
          <w:sz w:val="22"/>
          <w:szCs w:val="22"/>
        </w:rPr>
      </w:pPr>
    </w:p>
    <w:p w14:paraId="233C3134" w14:textId="57386A16" w:rsidR="00EC0F82" w:rsidRDefault="00EC0F82" w:rsidP="008834AE">
      <w:pPr>
        <w:pStyle w:val="Default"/>
        <w:spacing w:line="360" w:lineRule="auto"/>
        <w:ind w:left="142"/>
        <w:rPr>
          <w:color w:val="auto"/>
          <w:sz w:val="22"/>
          <w:szCs w:val="22"/>
        </w:rPr>
      </w:pPr>
    </w:p>
    <w:p w14:paraId="2A4AB1CC" w14:textId="012614E3" w:rsidR="00EC0F82" w:rsidRPr="00C81147" w:rsidRDefault="00EC0F82" w:rsidP="008834AE">
      <w:pPr>
        <w:pStyle w:val="Default"/>
        <w:spacing w:line="360" w:lineRule="auto"/>
        <w:ind w:left="142"/>
        <w:rPr>
          <w:i/>
          <w:iCs/>
          <w:color w:val="auto"/>
          <w:sz w:val="22"/>
          <w:szCs w:val="22"/>
        </w:rPr>
      </w:pPr>
      <w:r w:rsidRPr="00C81147">
        <w:rPr>
          <w:i/>
          <w:iCs/>
          <w:color w:val="auto"/>
          <w:sz w:val="22"/>
          <w:szCs w:val="22"/>
        </w:rPr>
        <w:t xml:space="preserve">Table 6: </w:t>
      </w:r>
      <w:r w:rsidR="00C81147" w:rsidRPr="00C81147">
        <w:rPr>
          <w:i/>
          <w:iCs/>
          <w:color w:val="auto"/>
          <w:sz w:val="22"/>
          <w:szCs w:val="22"/>
        </w:rPr>
        <w:t>Those that outcome can be reported for, and those discharged without a paired tool, broken down by Ethnicity.</w:t>
      </w:r>
    </w:p>
    <w:p w14:paraId="76E58538" w14:textId="77777777" w:rsidR="008834AE" w:rsidRDefault="008834AE" w:rsidP="008834AE">
      <w:pPr>
        <w:pStyle w:val="Default"/>
        <w:spacing w:line="360" w:lineRule="auto"/>
        <w:ind w:left="142"/>
        <w:rPr>
          <w:color w:val="auto"/>
          <w:sz w:val="22"/>
          <w:szCs w:val="22"/>
        </w:rPr>
      </w:pPr>
    </w:p>
    <w:p w14:paraId="5E34AF1A" w14:textId="77777777" w:rsidR="008834AE" w:rsidRDefault="008834AE" w:rsidP="008834AE">
      <w:pPr>
        <w:pStyle w:val="Default"/>
        <w:spacing w:line="360" w:lineRule="auto"/>
        <w:rPr>
          <w:color w:val="auto"/>
          <w:sz w:val="22"/>
          <w:szCs w:val="22"/>
        </w:rPr>
      </w:pPr>
      <w:r w:rsidRPr="00804E8A">
        <w:rPr>
          <w:noProof/>
        </w:rPr>
        <w:drawing>
          <wp:inline distT="0" distB="0" distL="0" distR="0" wp14:anchorId="64E5078E" wp14:editId="415FCC58">
            <wp:extent cx="5886450" cy="361442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86450" cy="3614420"/>
                    </a:xfrm>
                    <a:prstGeom prst="rect">
                      <a:avLst/>
                    </a:prstGeom>
                    <a:noFill/>
                    <a:ln>
                      <a:noFill/>
                    </a:ln>
                  </pic:spPr>
                </pic:pic>
              </a:graphicData>
            </a:graphic>
          </wp:inline>
        </w:drawing>
      </w:r>
    </w:p>
    <w:p w14:paraId="262E6FA8" w14:textId="77777777" w:rsidR="008834AE" w:rsidRPr="00491227" w:rsidRDefault="008834AE" w:rsidP="008834AE">
      <w:pPr>
        <w:pStyle w:val="Default"/>
        <w:spacing w:line="360" w:lineRule="auto"/>
        <w:ind w:left="862" w:firstLine="578"/>
        <w:rPr>
          <w:color w:val="auto"/>
          <w:sz w:val="22"/>
          <w:szCs w:val="22"/>
        </w:rPr>
      </w:pPr>
    </w:p>
    <w:p w14:paraId="5E7E597E"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Of the patients who had a paired </w:t>
      </w:r>
      <w:proofErr w:type="spellStart"/>
      <w:r w:rsidRPr="00491227">
        <w:rPr>
          <w:color w:val="auto"/>
          <w:sz w:val="22"/>
          <w:szCs w:val="22"/>
        </w:rPr>
        <w:t>HoNOS</w:t>
      </w:r>
      <w:proofErr w:type="spellEnd"/>
      <w:r w:rsidRPr="00491227">
        <w:rPr>
          <w:color w:val="auto"/>
          <w:sz w:val="22"/>
          <w:szCs w:val="22"/>
        </w:rPr>
        <w:t xml:space="preserve"> recorded, and change could be measured, the highest category of reliable and clinically meaningful improvement was observed within the following ethnic groups: White/Black African (50%), Black/ Black British African (42%), and Mixed other (27%). The numbers within these groups are all small and have a big impact on the proportions reported. The largest group with available reportable data were White – British who achieved 15% meaningful improvement. </w:t>
      </w:r>
    </w:p>
    <w:p w14:paraId="303C3255"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Significant deterioration was identified in a small number of cases: Black/ Black British other (N= 1, 14%), Mixed other (N = 1, 8%), and </w:t>
      </w:r>
      <w:proofErr w:type="gramStart"/>
      <w:r w:rsidRPr="00491227">
        <w:rPr>
          <w:color w:val="auto"/>
          <w:sz w:val="22"/>
          <w:szCs w:val="22"/>
        </w:rPr>
        <w:t>Other</w:t>
      </w:r>
      <w:proofErr w:type="gramEnd"/>
      <w:r w:rsidRPr="00491227">
        <w:rPr>
          <w:color w:val="auto"/>
          <w:sz w:val="22"/>
          <w:szCs w:val="22"/>
        </w:rPr>
        <w:t xml:space="preserve"> ethnic group - Arab (N = 1, 8%). It is important to note that in some instances, the paired measures are not recorded timely to the point of referral and discharge. This means that some outcomes are reflective of only a portion of the patient journey and may not capture the true change. The organisation is working hard to embed outcomes into routine practise to ensure that all patients have accurate, paired measures that are completed in a timely manner. </w:t>
      </w:r>
    </w:p>
    <w:p w14:paraId="1063AE83"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From a patient perspective (SWEMWBS), greater improvement was observed compared to the clinician perspective. On average, across all groups, 45% Statistically significant and clinically meaningful change was observed. However, this was most pronounced in the following groups: Black British Caribbean (N = 3, 60%), Mixed White/Black Caribbean (N = 3, 60%), Black/ Black British African (N = 9, 56%) and Asian/Asian British Pakistani (N = 10, 56%). White British (the group with the highest denominator, N = 2369) reported 40% meaningful improvement. </w:t>
      </w:r>
    </w:p>
    <w:p w14:paraId="5B2AA3F1"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Some significant deterioration was observed, the greatest amount identified within White British (N = 333, 3%). </w:t>
      </w:r>
    </w:p>
    <w:p w14:paraId="0DE031EA" w14:textId="77777777" w:rsidR="008834AE" w:rsidRPr="00491227" w:rsidRDefault="008834AE" w:rsidP="008834AE">
      <w:pPr>
        <w:pStyle w:val="Default"/>
        <w:spacing w:line="360" w:lineRule="auto"/>
        <w:ind w:left="142"/>
        <w:rPr>
          <w:color w:val="auto"/>
          <w:sz w:val="22"/>
          <w:szCs w:val="22"/>
        </w:rPr>
      </w:pPr>
    </w:p>
    <w:p w14:paraId="6CE79DEB" w14:textId="77777777" w:rsidR="008834AE" w:rsidRPr="00491227" w:rsidRDefault="008834AE" w:rsidP="008834AE">
      <w:pPr>
        <w:pStyle w:val="Default"/>
        <w:spacing w:line="360" w:lineRule="auto"/>
        <w:ind w:left="142"/>
        <w:rPr>
          <w:color w:val="auto"/>
          <w:sz w:val="22"/>
          <w:szCs w:val="22"/>
        </w:rPr>
      </w:pPr>
      <w:r w:rsidRPr="00491227">
        <w:rPr>
          <w:i/>
          <w:iCs/>
          <w:color w:val="auto"/>
          <w:sz w:val="22"/>
          <w:szCs w:val="22"/>
        </w:rPr>
        <w:t xml:space="preserve">Children and Younger People (CYP) </w:t>
      </w:r>
    </w:p>
    <w:p w14:paraId="0CA23E41"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The outcome measures extracted for CYP services were the Health of the Nation Outcome Scales for Children (</w:t>
      </w:r>
      <w:proofErr w:type="spellStart"/>
      <w:r w:rsidRPr="00491227">
        <w:rPr>
          <w:color w:val="auto"/>
          <w:sz w:val="22"/>
          <w:szCs w:val="22"/>
        </w:rPr>
        <w:t>HoNOSCA</w:t>
      </w:r>
      <w:proofErr w:type="spellEnd"/>
      <w:r w:rsidRPr="00491227">
        <w:rPr>
          <w:color w:val="auto"/>
          <w:sz w:val="22"/>
          <w:szCs w:val="22"/>
        </w:rPr>
        <w:t xml:space="preserve"> – Clinician rated measure) and a range of accepted measures capturing the child or young person perspective (CORS, ORS, EDE-Q, SCORE-15, SDQ, RCADS). </w:t>
      </w:r>
    </w:p>
    <w:p w14:paraId="473AFD15"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There were significant differences in relation to the number of paired </w:t>
      </w:r>
      <w:proofErr w:type="spellStart"/>
      <w:r w:rsidRPr="00491227">
        <w:rPr>
          <w:color w:val="auto"/>
          <w:sz w:val="22"/>
          <w:szCs w:val="22"/>
        </w:rPr>
        <w:t>HoNOSCA</w:t>
      </w:r>
      <w:proofErr w:type="spellEnd"/>
      <w:r w:rsidRPr="00491227">
        <w:rPr>
          <w:color w:val="auto"/>
          <w:sz w:val="22"/>
          <w:szCs w:val="22"/>
        </w:rPr>
        <w:t xml:space="preserve"> measures recorded, providing opportunity to evaluate effectiveness, across ethnicities. The following groups had the smallest proportions of CYP where outcome could be evaluated, </w:t>
      </w:r>
      <w:proofErr w:type="gramStart"/>
      <w:r w:rsidRPr="00491227">
        <w:rPr>
          <w:color w:val="auto"/>
          <w:sz w:val="22"/>
          <w:szCs w:val="22"/>
        </w:rPr>
        <w:t>Other</w:t>
      </w:r>
      <w:proofErr w:type="gramEnd"/>
      <w:r w:rsidRPr="00491227">
        <w:rPr>
          <w:color w:val="auto"/>
          <w:sz w:val="22"/>
          <w:szCs w:val="22"/>
        </w:rPr>
        <w:t xml:space="preserve"> Ethnic group – Arab (13%), Mixed White and Asian (21%), Mixed other (23%) and Asian/ Asian British Pakistani (25%). </w:t>
      </w:r>
    </w:p>
    <w:p w14:paraId="3D0BF4AF"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No significant differences were observed in relation to levels of improvement across ethnicities from evaluation of the </w:t>
      </w:r>
      <w:proofErr w:type="spellStart"/>
      <w:r w:rsidRPr="00491227">
        <w:rPr>
          <w:color w:val="auto"/>
          <w:sz w:val="22"/>
          <w:szCs w:val="22"/>
        </w:rPr>
        <w:t>HoNOSCA</w:t>
      </w:r>
      <w:proofErr w:type="spellEnd"/>
      <w:r w:rsidRPr="00491227">
        <w:rPr>
          <w:color w:val="auto"/>
          <w:sz w:val="22"/>
          <w:szCs w:val="22"/>
        </w:rPr>
        <w:t xml:space="preserve">. </w:t>
      </w:r>
    </w:p>
    <w:p w14:paraId="0EB6A030"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From the patient perspective many groups had less than 20% reportable outcomes (Asian/Asian British Pakistani, White Gypsy, other ethnic group - Arab). However, the denominator for some of these groups is small. </w:t>
      </w:r>
    </w:p>
    <w:p w14:paraId="0F2C1746"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I relation to levels of improvement across ethnic groups from the CYP perspective Black/Black British African and Black/Black British other had 100% improvement rates, however the denominator for each of these groups were 3 and 2 respectively, making them very small numbers, in comparison to white- British who had an improvement rate of 61% (N=1202). </w:t>
      </w:r>
    </w:p>
    <w:p w14:paraId="298596FF" w14:textId="77777777" w:rsidR="008834AE" w:rsidRPr="00491227" w:rsidRDefault="008834AE" w:rsidP="008834AE">
      <w:pPr>
        <w:pStyle w:val="Default"/>
        <w:spacing w:line="360" w:lineRule="auto"/>
        <w:ind w:left="142"/>
        <w:rPr>
          <w:color w:val="auto"/>
          <w:sz w:val="22"/>
          <w:szCs w:val="22"/>
        </w:rPr>
      </w:pPr>
    </w:p>
    <w:p w14:paraId="04FE81D1"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Marital status: </w:t>
      </w:r>
    </w:p>
    <w:p w14:paraId="32C6E5D9" w14:textId="77777777" w:rsidR="008834AE" w:rsidRPr="00491227" w:rsidRDefault="008834AE" w:rsidP="008834AE">
      <w:pPr>
        <w:pStyle w:val="Default"/>
        <w:spacing w:line="360" w:lineRule="auto"/>
        <w:ind w:left="142"/>
        <w:rPr>
          <w:color w:val="auto"/>
          <w:sz w:val="22"/>
          <w:szCs w:val="22"/>
        </w:rPr>
      </w:pPr>
    </w:p>
    <w:p w14:paraId="136C9525" w14:textId="77777777" w:rsidR="008834AE" w:rsidRPr="00491227" w:rsidRDefault="008834AE" w:rsidP="008834AE">
      <w:pPr>
        <w:pStyle w:val="Default"/>
        <w:spacing w:line="360" w:lineRule="auto"/>
        <w:ind w:left="142"/>
        <w:rPr>
          <w:color w:val="auto"/>
          <w:sz w:val="22"/>
          <w:szCs w:val="22"/>
        </w:rPr>
      </w:pPr>
      <w:r w:rsidRPr="00491227">
        <w:rPr>
          <w:i/>
          <w:iCs/>
          <w:color w:val="auto"/>
          <w:sz w:val="22"/>
          <w:szCs w:val="22"/>
        </w:rPr>
        <w:t xml:space="preserve">Adult and MHSOP </w:t>
      </w:r>
    </w:p>
    <w:p w14:paraId="47A261B7"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No significant differences were identified in relation to patients without measures recorded for the </w:t>
      </w:r>
      <w:proofErr w:type="spellStart"/>
      <w:r w:rsidRPr="00491227">
        <w:rPr>
          <w:color w:val="auto"/>
          <w:sz w:val="22"/>
          <w:szCs w:val="22"/>
        </w:rPr>
        <w:t>HoNOS</w:t>
      </w:r>
      <w:proofErr w:type="spellEnd"/>
      <w:r w:rsidRPr="00491227">
        <w:rPr>
          <w:color w:val="auto"/>
          <w:sz w:val="22"/>
          <w:szCs w:val="22"/>
        </w:rPr>
        <w:t xml:space="preserve">. In the sample, approximately 20% of patients did not have two </w:t>
      </w:r>
      <w:proofErr w:type="spellStart"/>
      <w:r w:rsidRPr="00491227">
        <w:rPr>
          <w:color w:val="auto"/>
          <w:sz w:val="22"/>
          <w:szCs w:val="22"/>
        </w:rPr>
        <w:t>HoNOS</w:t>
      </w:r>
      <w:proofErr w:type="spellEnd"/>
      <w:r w:rsidRPr="00491227">
        <w:rPr>
          <w:color w:val="auto"/>
          <w:sz w:val="22"/>
          <w:szCs w:val="22"/>
        </w:rPr>
        <w:t xml:space="preserve"> measures recorded. Greater variation on number recorded was identified for the patient perspective (SWEMWBS), with Surviving Partner/Widowed having 60% of patients without a repeated measure (N = 1490). </w:t>
      </w:r>
    </w:p>
    <w:p w14:paraId="3B8B88F1"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The least improvement and highest deterioration for the </w:t>
      </w:r>
      <w:proofErr w:type="spellStart"/>
      <w:r w:rsidRPr="00491227">
        <w:rPr>
          <w:color w:val="auto"/>
          <w:sz w:val="22"/>
          <w:szCs w:val="22"/>
        </w:rPr>
        <w:t>HoNOS</w:t>
      </w:r>
      <w:proofErr w:type="spellEnd"/>
      <w:r w:rsidRPr="00491227">
        <w:rPr>
          <w:color w:val="auto"/>
          <w:sz w:val="22"/>
          <w:szCs w:val="22"/>
        </w:rPr>
        <w:t xml:space="preserve"> was observed within the Surviving Partner/Widowed cohort (9% significant improvement and 4% significant deterioration). The best outcomes were reported for the Single or Separated patients (approximately 21% meaningful improvements). </w:t>
      </w:r>
    </w:p>
    <w:p w14:paraId="731148C2" w14:textId="77777777" w:rsidR="008834AE" w:rsidRPr="00491227" w:rsidRDefault="008834AE" w:rsidP="008834AE">
      <w:pPr>
        <w:pStyle w:val="Default"/>
        <w:spacing w:line="360" w:lineRule="auto"/>
        <w:ind w:left="142"/>
        <w:rPr>
          <w:color w:val="auto"/>
          <w:sz w:val="22"/>
          <w:szCs w:val="22"/>
        </w:rPr>
      </w:pPr>
    </w:p>
    <w:p w14:paraId="7921380E" w14:textId="768BF453" w:rsidR="008834AE" w:rsidRDefault="008834AE" w:rsidP="008834AE">
      <w:pPr>
        <w:pStyle w:val="Default"/>
        <w:spacing w:line="360" w:lineRule="auto"/>
        <w:ind w:left="142"/>
        <w:rPr>
          <w:color w:val="auto"/>
          <w:sz w:val="22"/>
          <w:szCs w:val="22"/>
        </w:rPr>
      </w:pPr>
      <w:r w:rsidRPr="00491227">
        <w:rPr>
          <w:color w:val="auto"/>
          <w:sz w:val="22"/>
          <w:szCs w:val="22"/>
        </w:rPr>
        <w:t>For the SWEMWBS, the average proportion of meaningful improvement across all groups was approximately 42%. Similarly, to the clinical perspective, the group with the least amount of improvement were the Surviving Partner/Widowed group (21% improvement). The deterioration was observed within the separated group and the single group (both having 5% significant deterioration)</w:t>
      </w:r>
      <w:r w:rsidR="00C81147">
        <w:rPr>
          <w:color w:val="auto"/>
          <w:sz w:val="22"/>
          <w:szCs w:val="22"/>
        </w:rPr>
        <w:t xml:space="preserve">. In the two tables below, clinical significance is shown for those people who outcome could be reported for. </w:t>
      </w:r>
    </w:p>
    <w:p w14:paraId="5B8F8C1E" w14:textId="2CFF3E4B" w:rsidR="00C81147" w:rsidRDefault="00C81147" w:rsidP="008834AE">
      <w:pPr>
        <w:pStyle w:val="Default"/>
        <w:spacing w:line="360" w:lineRule="auto"/>
        <w:ind w:left="142"/>
        <w:rPr>
          <w:color w:val="auto"/>
          <w:sz w:val="22"/>
          <w:szCs w:val="22"/>
        </w:rPr>
      </w:pPr>
    </w:p>
    <w:p w14:paraId="570587E1" w14:textId="3F941786" w:rsidR="00C81147" w:rsidRPr="00C81147" w:rsidRDefault="00C81147" w:rsidP="008834AE">
      <w:pPr>
        <w:pStyle w:val="Default"/>
        <w:spacing w:line="360" w:lineRule="auto"/>
        <w:ind w:left="142"/>
        <w:rPr>
          <w:i/>
          <w:iCs/>
          <w:color w:val="auto"/>
          <w:sz w:val="22"/>
          <w:szCs w:val="22"/>
        </w:rPr>
      </w:pPr>
      <w:r w:rsidRPr="00C81147">
        <w:rPr>
          <w:i/>
          <w:iCs/>
          <w:color w:val="auto"/>
          <w:sz w:val="22"/>
          <w:szCs w:val="22"/>
        </w:rPr>
        <w:t xml:space="preserve">Table 7: </w:t>
      </w:r>
      <w:proofErr w:type="spellStart"/>
      <w:r w:rsidRPr="00C81147">
        <w:rPr>
          <w:i/>
          <w:iCs/>
          <w:color w:val="auto"/>
          <w:sz w:val="22"/>
          <w:szCs w:val="22"/>
        </w:rPr>
        <w:t>HoNOS</w:t>
      </w:r>
      <w:proofErr w:type="spellEnd"/>
      <w:r w:rsidRPr="00C81147">
        <w:rPr>
          <w:i/>
          <w:iCs/>
          <w:color w:val="auto"/>
          <w:sz w:val="22"/>
          <w:szCs w:val="22"/>
        </w:rPr>
        <w:t xml:space="preserve"> and SWEMWBS clinical significance broken down by marital status</w:t>
      </w:r>
    </w:p>
    <w:p w14:paraId="0A705B6A" w14:textId="77777777" w:rsidR="008834AE" w:rsidRPr="00491227" w:rsidRDefault="008834AE" w:rsidP="008834AE">
      <w:pPr>
        <w:pStyle w:val="Default"/>
        <w:spacing w:line="360" w:lineRule="auto"/>
        <w:ind w:left="142"/>
        <w:rPr>
          <w:color w:val="auto"/>
          <w:sz w:val="22"/>
          <w:szCs w:val="22"/>
        </w:rPr>
      </w:pPr>
      <w:r w:rsidRPr="00E72E89">
        <w:rPr>
          <w:noProof/>
        </w:rPr>
        <w:drawing>
          <wp:inline distT="0" distB="0" distL="0" distR="0" wp14:anchorId="132F2C2E" wp14:editId="13BE9CE2">
            <wp:extent cx="5886450" cy="38176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86450" cy="3817620"/>
                    </a:xfrm>
                    <a:prstGeom prst="rect">
                      <a:avLst/>
                    </a:prstGeom>
                    <a:noFill/>
                    <a:ln>
                      <a:noFill/>
                    </a:ln>
                  </pic:spPr>
                </pic:pic>
              </a:graphicData>
            </a:graphic>
          </wp:inline>
        </w:drawing>
      </w:r>
    </w:p>
    <w:p w14:paraId="136F9B65" w14:textId="77777777" w:rsidR="008834AE" w:rsidRPr="00491227" w:rsidRDefault="008834AE" w:rsidP="008834AE">
      <w:pPr>
        <w:pStyle w:val="Default"/>
        <w:spacing w:line="360" w:lineRule="auto"/>
        <w:ind w:left="142"/>
        <w:rPr>
          <w:color w:val="auto"/>
          <w:sz w:val="22"/>
          <w:szCs w:val="22"/>
        </w:rPr>
      </w:pPr>
    </w:p>
    <w:p w14:paraId="3BA939C6"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Gender: </w:t>
      </w:r>
    </w:p>
    <w:p w14:paraId="661A30BA" w14:textId="77777777" w:rsidR="008834AE" w:rsidRPr="00491227" w:rsidRDefault="008834AE" w:rsidP="008834AE">
      <w:pPr>
        <w:pStyle w:val="Default"/>
        <w:spacing w:line="360" w:lineRule="auto"/>
        <w:ind w:left="142"/>
        <w:rPr>
          <w:i/>
          <w:iCs/>
          <w:color w:val="auto"/>
          <w:sz w:val="22"/>
          <w:szCs w:val="22"/>
        </w:rPr>
      </w:pPr>
      <w:r w:rsidRPr="00491227">
        <w:rPr>
          <w:i/>
          <w:iCs/>
          <w:color w:val="auto"/>
          <w:sz w:val="22"/>
          <w:szCs w:val="22"/>
        </w:rPr>
        <w:t xml:space="preserve">Adult and MHSOP </w:t>
      </w:r>
    </w:p>
    <w:p w14:paraId="15CC3A92" w14:textId="77777777" w:rsidR="008834AE" w:rsidRPr="00491227" w:rsidRDefault="008834AE" w:rsidP="008834AE">
      <w:pPr>
        <w:pStyle w:val="Default"/>
        <w:spacing w:line="360" w:lineRule="auto"/>
        <w:ind w:left="142"/>
        <w:rPr>
          <w:color w:val="auto"/>
          <w:sz w:val="22"/>
          <w:szCs w:val="22"/>
        </w:rPr>
      </w:pPr>
    </w:p>
    <w:p w14:paraId="56EFB533"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Across Genders, Females (Including Trans Woman) have the highest % without a paired </w:t>
      </w:r>
      <w:proofErr w:type="spellStart"/>
      <w:r w:rsidRPr="00491227">
        <w:rPr>
          <w:color w:val="auto"/>
          <w:sz w:val="22"/>
          <w:szCs w:val="22"/>
        </w:rPr>
        <w:t>HoNOS</w:t>
      </w:r>
      <w:proofErr w:type="spellEnd"/>
      <w:r w:rsidRPr="00491227">
        <w:rPr>
          <w:color w:val="auto"/>
          <w:sz w:val="22"/>
          <w:szCs w:val="22"/>
        </w:rPr>
        <w:t xml:space="preserve"> tool and without a paired SWEMWBS tool (20% and 40% respectively). </w:t>
      </w:r>
    </w:p>
    <w:p w14:paraId="45074E47"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No significant differences were detected in relation to levels of improvement or deterioration on the </w:t>
      </w:r>
      <w:proofErr w:type="spellStart"/>
      <w:r w:rsidRPr="00491227">
        <w:rPr>
          <w:color w:val="auto"/>
          <w:sz w:val="22"/>
          <w:szCs w:val="22"/>
        </w:rPr>
        <w:t>HoNOS</w:t>
      </w:r>
      <w:proofErr w:type="spellEnd"/>
      <w:r w:rsidRPr="00491227">
        <w:rPr>
          <w:color w:val="auto"/>
          <w:sz w:val="22"/>
          <w:szCs w:val="22"/>
        </w:rPr>
        <w:t xml:space="preserve"> between groups. </w:t>
      </w:r>
    </w:p>
    <w:p w14:paraId="4452D116"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From the patient perspective, the male and female (including trans man and woman) reported greater levels of meaningful improvement (40% and 40% respectively) than the other gender groups. No significant findings in relation to deterioration were observed. </w:t>
      </w:r>
    </w:p>
    <w:p w14:paraId="382C03EC" w14:textId="77777777" w:rsidR="008834AE" w:rsidRPr="00491227" w:rsidRDefault="008834AE" w:rsidP="008834AE">
      <w:pPr>
        <w:pStyle w:val="Default"/>
        <w:spacing w:line="360" w:lineRule="auto"/>
        <w:ind w:left="142"/>
        <w:rPr>
          <w:color w:val="auto"/>
          <w:sz w:val="22"/>
          <w:szCs w:val="22"/>
        </w:rPr>
      </w:pPr>
    </w:p>
    <w:p w14:paraId="0B9F40CA" w14:textId="77777777" w:rsidR="008834AE" w:rsidRPr="00491227" w:rsidRDefault="008834AE" w:rsidP="008834AE">
      <w:pPr>
        <w:pStyle w:val="Default"/>
        <w:spacing w:line="360" w:lineRule="auto"/>
        <w:ind w:left="142"/>
        <w:rPr>
          <w:i/>
          <w:iCs/>
          <w:color w:val="auto"/>
          <w:sz w:val="22"/>
          <w:szCs w:val="22"/>
        </w:rPr>
      </w:pPr>
      <w:r w:rsidRPr="00491227">
        <w:rPr>
          <w:i/>
          <w:iCs/>
          <w:color w:val="auto"/>
          <w:sz w:val="22"/>
          <w:szCs w:val="22"/>
        </w:rPr>
        <w:t>Children and Younger People</w:t>
      </w:r>
    </w:p>
    <w:p w14:paraId="778546DE"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There were no significant differences to note in relation to recording of outcome measures across genders. There were also little differences to note in relation to the change reported, with the exception of the </w:t>
      </w:r>
      <w:proofErr w:type="gramStart"/>
      <w:r w:rsidRPr="00491227">
        <w:rPr>
          <w:color w:val="auto"/>
          <w:sz w:val="22"/>
          <w:szCs w:val="22"/>
        </w:rPr>
        <w:t>Non-Binary</w:t>
      </w:r>
      <w:proofErr w:type="gramEnd"/>
      <w:r w:rsidRPr="00491227">
        <w:rPr>
          <w:color w:val="auto"/>
          <w:sz w:val="22"/>
          <w:szCs w:val="22"/>
        </w:rPr>
        <w:t xml:space="preserve"> group who had significantly higher self-rated deterioration (67%). </w:t>
      </w:r>
    </w:p>
    <w:p w14:paraId="4EFCA969" w14:textId="77777777" w:rsidR="008834AE" w:rsidRPr="00491227" w:rsidRDefault="008834AE" w:rsidP="008834AE">
      <w:pPr>
        <w:pStyle w:val="Default"/>
        <w:spacing w:line="360" w:lineRule="auto"/>
        <w:ind w:left="142"/>
        <w:rPr>
          <w:color w:val="auto"/>
          <w:sz w:val="22"/>
          <w:szCs w:val="22"/>
        </w:rPr>
      </w:pPr>
    </w:p>
    <w:p w14:paraId="4DFBF73D"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Religion: </w:t>
      </w:r>
    </w:p>
    <w:p w14:paraId="5648ADAF" w14:textId="77777777" w:rsidR="008834AE" w:rsidRPr="00491227" w:rsidRDefault="008834AE" w:rsidP="008834AE">
      <w:pPr>
        <w:pStyle w:val="Default"/>
        <w:spacing w:line="360" w:lineRule="auto"/>
        <w:ind w:left="142"/>
        <w:rPr>
          <w:color w:val="auto"/>
          <w:sz w:val="22"/>
          <w:szCs w:val="22"/>
        </w:rPr>
      </w:pPr>
    </w:p>
    <w:p w14:paraId="3D3BFA33" w14:textId="77777777" w:rsidR="008834AE" w:rsidRPr="00491227" w:rsidRDefault="008834AE" w:rsidP="008834AE">
      <w:pPr>
        <w:pStyle w:val="Default"/>
        <w:spacing w:line="360" w:lineRule="auto"/>
        <w:ind w:left="142"/>
        <w:rPr>
          <w:color w:val="auto"/>
          <w:sz w:val="22"/>
          <w:szCs w:val="22"/>
        </w:rPr>
      </w:pPr>
      <w:r w:rsidRPr="00491227">
        <w:rPr>
          <w:i/>
          <w:iCs/>
          <w:color w:val="auto"/>
          <w:sz w:val="22"/>
          <w:szCs w:val="22"/>
        </w:rPr>
        <w:t xml:space="preserve">Adult and MHSOP </w:t>
      </w:r>
    </w:p>
    <w:p w14:paraId="40FA5862"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The average meaningful improvement rate for the </w:t>
      </w:r>
      <w:proofErr w:type="spellStart"/>
      <w:r w:rsidRPr="00491227">
        <w:rPr>
          <w:color w:val="auto"/>
          <w:sz w:val="22"/>
          <w:szCs w:val="22"/>
        </w:rPr>
        <w:t>HoNOS</w:t>
      </w:r>
      <w:proofErr w:type="spellEnd"/>
      <w:r w:rsidRPr="00491227">
        <w:rPr>
          <w:color w:val="auto"/>
          <w:sz w:val="22"/>
          <w:szCs w:val="22"/>
        </w:rPr>
        <w:t xml:space="preserve"> was approximately 15% across all religious groups. The highest proportions of improvement were attributed to the following </w:t>
      </w:r>
      <w:proofErr w:type="gramStart"/>
      <w:r w:rsidRPr="00491227">
        <w:rPr>
          <w:color w:val="auto"/>
          <w:sz w:val="22"/>
          <w:szCs w:val="22"/>
        </w:rPr>
        <w:t>religions,  Muslim</w:t>
      </w:r>
      <w:proofErr w:type="gramEnd"/>
      <w:r w:rsidRPr="00491227">
        <w:rPr>
          <w:color w:val="auto"/>
          <w:sz w:val="22"/>
          <w:szCs w:val="22"/>
        </w:rPr>
        <w:t xml:space="preserve"> (27%), Buddhist (22%) and Pagan (19%). </w:t>
      </w:r>
    </w:p>
    <w:p w14:paraId="5F1D89FB"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The average significant deterioration rate across all religions was 3%. However, the highest rates of deterioration were observed for Hindu (10%), Any other Religion (6%) and Christian (4%). </w:t>
      </w:r>
    </w:p>
    <w:p w14:paraId="0B434EFC"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The average meaningful improvement rate for the SWEMWBS was approximately 42%, whilst the deterioration rate was 5%. The patient perspective of change appears to be significantly better than the clinician perspective. </w:t>
      </w:r>
    </w:p>
    <w:p w14:paraId="3039C322"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The lowest rates of improvement were observed within the Christian (37%) and Any Other Religion (23%) groups and the highest achieved within the Buddhist (67%), </w:t>
      </w:r>
      <w:proofErr w:type="gramStart"/>
      <w:r w:rsidRPr="00491227">
        <w:rPr>
          <w:color w:val="auto"/>
          <w:sz w:val="22"/>
          <w:szCs w:val="22"/>
        </w:rPr>
        <w:t>Pagan(</w:t>
      </w:r>
      <w:proofErr w:type="gramEnd"/>
      <w:r w:rsidRPr="00491227">
        <w:rPr>
          <w:color w:val="auto"/>
          <w:sz w:val="22"/>
          <w:szCs w:val="22"/>
        </w:rPr>
        <w:t xml:space="preserve">50%) and None (47%) groups. The highest levels of deterioration were observed within the Patient Religion Unknown (5%), Declined to Disclose (5%), other (4.5%) and Christian (4%) groups. </w:t>
      </w:r>
    </w:p>
    <w:p w14:paraId="32FFC1EC" w14:textId="77777777" w:rsidR="008834AE" w:rsidRPr="00491227" w:rsidRDefault="008834AE" w:rsidP="008834AE">
      <w:pPr>
        <w:pStyle w:val="Default"/>
        <w:spacing w:line="360" w:lineRule="auto"/>
        <w:ind w:left="142"/>
        <w:rPr>
          <w:color w:val="auto"/>
          <w:sz w:val="22"/>
          <w:szCs w:val="22"/>
        </w:rPr>
      </w:pPr>
    </w:p>
    <w:p w14:paraId="18BF5B05"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Sexual Orientation: </w:t>
      </w:r>
    </w:p>
    <w:p w14:paraId="001391F5" w14:textId="77777777" w:rsidR="008834AE" w:rsidRPr="00491227" w:rsidRDefault="008834AE" w:rsidP="008834AE">
      <w:pPr>
        <w:pStyle w:val="Default"/>
        <w:spacing w:line="360" w:lineRule="auto"/>
        <w:ind w:left="142"/>
        <w:rPr>
          <w:color w:val="auto"/>
          <w:sz w:val="22"/>
          <w:szCs w:val="22"/>
        </w:rPr>
      </w:pPr>
    </w:p>
    <w:p w14:paraId="09D30DE4" w14:textId="77777777" w:rsidR="008834AE" w:rsidRPr="00491227" w:rsidRDefault="008834AE" w:rsidP="008834AE">
      <w:pPr>
        <w:pStyle w:val="Default"/>
        <w:spacing w:line="360" w:lineRule="auto"/>
        <w:ind w:left="142"/>
        <w:rPr>
          <w:color w:val="auto"/>
          <w:sz w:val="22"/>
          <w:szCs w:val="22"/>
        </w:rPr>
      </w:pPr>
      <w:r w:rsidRPr="00491227">
        <w:rPr>
          <w:i/>
          <w:iCs/>
          <w:color w:val="auto"/>
          <w:sz w:val="22"/>
          <w:szCs w:val="22"/>
        </w:rPr>
        <w:t xml:space="preserve">Adult and MHSOP </w:t>
      </w:r>
    </w:p>
    <w:p w14:paraId="00C8ABEA"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The sexual orientations with the fewest paired </w:t>
      </w:r>
      <w:proofErr w:type="spellStart"/>
      <w:r w:rsidRPr="00491227">
        <w:rPr>
          <w:color w:val="auto"/>
          <w:sz w:val="22"/>
          <w:szCs w:val="22"/>
        </w:rPr>
        <w:t>HoNOS</w:t>
      </w:r>
      <w:proofErr w:type="spellEnd"/>
      <w:r w:rsidRPr="00491227">
        <w:rPr>
          <w:color w:val="auto"/>
          <w:sz w:val="22"/>
          <w:szCs w:val="22"/>
        </w:rPr>
        <w:t xml:space="preserve"> measures recorded were Other (28%). This prevents assessment of treatment efficacy. The groups with the highest rates of paired measures were Heterosexual (62%), person declined (59%) and </w:t>
      </w:r>
      <w:proofErr w:type="gramStart"/>
      <w:r w:rsidRPr="00491227">
        <w:rPr>
          <w:color w:val="auto"/>
          <w:sz w:val="22"/>
          <w:szCs w:val="22"/>
        </w:rPr>
        <w:t>Not</w:t>
      </w:r>
      <w:proofErr w:type="gramEnd"/>
      <w:r w:rsidRPr="00491227">
        <w:rPr>
          <w:color w:val="auto"/>
          <w:sz w:val="22"/>
          <w:szCs w:val="22"/>
        </w:rPr>
        <w:t xml:space="preserve"> known (58%). </w:t>
      </w:r>
    </w:p>
    <w:p w14:paraId="2D77E71A"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In relation to the patient perspective (SWEMWBS), Not known sexuality grouping patients had the fewest paired measures recorded (28%). For the </w:t>
      </w:r>
      <w:proofErr w:type="spellStart"/>
      <w:r w:rsidRPr="00491227">
        <w:rPr>
          <w:color w:val="auto"/>
          <w:sz w:val="22"/>
          <w:szCs w:val="22"/>
        </w:rPr>
        <w:t>HoNOS</w:t>
      </w:r>
      <w:proofErr w:type="spellEnd"/>
      <w:r w:rsidRPr="00491227">
        <w:rPr>
          <w:color w:val="auto"/>
          <w:sz w:val="22"/>
          <w:szCs w:val="22"/>
        </w:rPr>
        <w:t xml:space="preserve">, despite the number of pairs being low, the Bi-sexual group achieved one of the highest rates of significant improvement (20%). The highest rates of deterioration were reported within the Heterosexual (3%), all other groups had minimal or no significant deterioration reported. </w:t>
      </w:r>
    </w:p>
    <w:p w14:paraId="6BE98F7A"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From a patient reported perspective, the proportion of significant improvement was higher for all groups compared to the clinician perspective. However, the groups reporting the highest rates of significant improvement were Other (59%), Bi-sexual (50%) and Gay/Lesbian (43%). Those groups that reported the highest levels of significant deterioration were Not Known (4.4%) and Bi-sexual (4.2%). </w:t>
      </w:r>
    </w:p>
    <w:p w14:paraId="7A3235F0" w14:textId="77777777" w:rsidR="008834AE" w:rsidRPr="00491227" w:rsidRDefault="008834AE" w:rsidP="008834AE">
      <w:pPr>
        <w:pStyle w:val="Default"/>
        <w:spacing w:line="360" w:lineRule="auto"/>
        <w:ind w:left="142"/>
        <w:rPr>
          <w:color w:val="auto"/>
          <w:sz w:val="22"/>
          <w:szCs w:val="22"/>
        </w:rPr>
      </w:pPr>
    </w:p>
    <w:p w14:paraId="734C2F19" w14:textId="77777777" w:rsidR="008834AE" w:rsidRPr="00491227" w:rsidRDefault="008834AE" w:rsidP="008834AE">
      <w:pPr>
        <w:pStyle w:val="Default"/>
        <w:spacing w:line="360" w:lineRule="auto"/>
        <w:ind w:left="142"/>
        <w:rPr>
          <w:color w:val="auto"/>
          <w:sz w:val="22"/>
          <w:szCs w:val="22"/>
        </w:rPr>
      </w:pPr>
      <w:r w:rsidRPr="00491227">
        <w:rPr>
          <w:i/>
          <w:iCs/>
          <w:color w:val="auto"/>
          <w:sz w:val="22"/>
          <w:szCs w:val="22"/>
        </w:rPr>
        <w:t xml:space="preserve">Children and Younger People </w:t>
      </w:r>
    </w:p>
    <w:p w14:paraId="4CB7B61C" w14:textId="77777777" w:rsidR="008834AE" w:rsidRPr="00491227" w:rsidRDefault="008834AE" w:rsidP="008834AE">
      <w:pPr>
        <w:pStyle w:val="Default"/>
        <w:spacing w:line="360" w:lineRule="auto"/>
        <w:ind w:left="142"/>
        <w:rPr>
          <w:color w:val="auto"/>
          <w:sz w:val="22"/>
          <w:szCs w:val="22"/>
        </w:rPr>
      </w:pPr>
      <w:proofErr w:type="gramStart"/>
      <w:r w:rsidRPr="00491227">
        <w:rPr>
          <w:color w:val="auto"/>
          <w:sz w:val="22"/>
          <w:szCs w:val="22"/>
        </w:rPr>
        <w:t>The majority of</w:t>
      </w:r>
      <w:proofErr w:type="gramEnd"/>
      <w:r w:rsidRPr="00491227">
        <w:rPr>
          <w:color w:val="auto"/>
          <w:sz w:val="22"/>
          <w:szCs w:val="22"/>
        </w:rPr>
        <w:t xml:space="preserve"> data for CYP falls within the group of not known due to the nature of the age group considered. However, some data was available for analysis for a small proportion of young people. </w:t>
      </w:r>
    </w:p>
    <w:p w14:paraId="3ED23CE5" w14:textId="77777777" w:rsidR="008834AE" w:rsidRDefault="008834AE" w:rsidP="008834AE">
      <w:pPr>
        <w:pStyle w:val="Default"/>
        <w:spacing w:line="360" w:lineRule="auto"/>
        <w:ind w:left="142"/>
        <w:rPr>
          <w:color w:val="auto"/>
          <w:sz w:val="22"/>
          <w:szCs w:val="22"/>
        </w:rPr>
      </w:pPr>
      <w:r w:rsidRPr="00491227">
        <w:rPr>
          <w:color w:val="auto"/>
          <w:sz w:val="22"/>
          <w:szCs w:val="22"/>
        </w:rPr>
        <w:t>No significant differences were noted in relation to the number of measures recorded, from both the clinician perspective and the patient perspective. There were also no significant changes noted for the direction of change in the clinician and the patient rated outcome tools, with all groups being very similar in their output.</w:t>
      </w:r>
    </w:p>
    <w:p w14:paraId="2276E62C" w14:textId="77777777" w:rsidR="008834AE" w:rsidRPr="00491227" w:rsidRDefault="008834AE" w:rsidP="008834AE">
      <w:pPr>
        <w:pStyle w:val="Default"/>
        <w:spacing w:line="360" w:lineRule="auto"/>
        <w:ind w:left="142"/>
        <w:rPr>
          <w:color w:val="auto"/>
          <w:sz w:val="22"/>
          <w:szCs w:val="22"/>
        </w:rPr>
      </w:pPr>
    </w:p>
    <w:p w14:paraId="4668FCAD"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Age: </w:t>
      </w:r>
    </w:p>
    <w:p w14:paraId="44B258C2" w14:textId="77777777" w:rsidR="008834AE" w:rsidRPr="00491227" w:rsidRDefault="008834AE" w:rsidP="008834AE">
      <w:pPr>
        <w:pStyle w:val="Default"/>
        <w:spacing w:line="360" w:lineRule="auto"/>
        <w:ind w:left="142"/>
        <w:rPr>
          <w:color w:val="auto"/>
          <w:sz w:val="22"/>
          <w:szCs w:val="22"/>
        </w:rPr>
      </w:pPr>
      <w:r w:rsidRPr="00491227">
        <w:rPr>
          <w:i/>
          <w:iCs/>
          <w:color w:val="auto"/>
          <w:sz w:val="22"/>
          <w:szCs w:val="22"/>
        </w:rPr>
        <w:t xml:space="preserve">Adult and MHSOP </w:t>
      </w:r>
    </w:p>
    <w:p w14:paraId="0903D123"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In relation to proportions, there were no significant differences in the number of measures collected across the age groups for the </w:t>
      </w:r>
      <w:proofErr w:type="spellStart"/>
      <w:r w:rsidRPr="00491227">
        <w:rPr>
          <w:color w:val="auto"/>
          <w:sz w:val="22"/>
          <w:szCs w:val="22"/>
        </w:rPr>
        <w:t>HoNOS</w:t>
      </w:r>
      <w:proofErr w:type="spellEnd"/>
      <w:r w:rsidRPr="00491227">
        <w:rPr>
          <w:color w:val="auto"/>
          <w:sz w:val="22"/>
          <w:szCs w:val="22"/>
        </w:rPr>
        <w:t xml:space="preserve">. However, for the patient perspective (SWEMWBS), the 65+ category had significantly less measures collected (56%), this was more than double the amount of all other groups. This could be explained by the cohort of older adults with organic, degenerative conditions. The Trust is currently exploring alternative measures for organic patients that will most likely include a carer perspective. </w:t>
      </w:r>
    </w:p>
    <w:p w14:paraId="6ED71317" w14:textId="59334299" w:rsidR="000E5733" w:rsidRDefault="008834AE" w:rsidP="000E5733">
      <w:pPr>
        <w:pStyle w:val="Default"/>
        <w:spacing w:line="360" w:lineRule="auto"/>
        <w:ind w:left="142"/>
        <w:rPr>
          <w:color w:val="auto"/>
          <w:sz w:val="22"/>
          <w:szCs w:val="22"/>
        </w:rPr>
      </w:pPr>
      <w:r w:rsidRPr="00491227">
        <w:rPr>
          <w:color w:val="auto"/>
          <w:sz w:val="22"/>
          <w:szCs w:val="22"/>
        </w:rPr>
        <w:t xml:space="preserve">For the </w:t>
      </w:r>
      <w:proofErr w:type="spellStart"/>
      <w:r w:rsidRPr="00491227">
        <w:rPr>
          <w:color w:val="auto"/>
          <w:sz w:val="22"/>
          <w:szCs w:val="22"/>
        </w:rPr>
        <w:t>HoNOS</w:t>
      </w:r>
      <w:proofErr w:type="spellEnd"/>
      <w:r w:rsidRPr="00491227">
        <w:rPr>
          <w:color w:val="auto"/>
          <w:sz w:val="22"/>
          <w:szCs w:val="22"/>
        </w:rPr>
        <w:t xml:space="preserve">, the 65+ category had significantly less improvement than any other age categories (9%) and significantly higher rates of deterioration (4%). This could be driven by the organic cohort as discussed in the section above. For the Patient rated measure the 65+ category also had significantly less improvement than all other groups (26%), this is less than half of all other categories. No significant differences were detected for significant deterioration levels. </w:t>
      </w:r>
      <w:r w:rsidR="000E5733">
        <w:rPr>
          <w:color w:val="auto"/>
          <w:sz w:val="22"/>
          <w:szCs w:val="22"/>
        </w:rPr>
        <w:t xml:space="preserve">In the two tables below, clinical significance is shown for those people who outcome could be reported for. </w:t>
      </w:r>
    </w:p>
    <w:p w14:paraId="1E8ED701" w14:textId="68DAF8A8" w:rsidR="000E5733" w:rsidRDefault="000E5733" w:rsidP="000E5733">
      <w:pPr>
        <w:pStyle w:val="Default"/>
        <w:spacing w:line="360" w:lineRule="auto"/>
        <w:ind w:left="142"/>
        <w:rPr>
          <w:color w:val="auto"/>
          <w:sz w:val="22"/>
          <w:szCs w:val="22"/>
        </w:rPr>
      </w:pPr>
    </w:p>
    <w:p w14:paraId="3382472F" w14:textId="27F19D1C" w:rsidR="000E5733" w:rsidRDefault="000E5733" w:rsidP="000E5733">
      <w:pPr>
        <w:pStyle w:val="Default"/>
        <w:spacing w:line="360" w:lineRule="auto"/>
        <w:ind w:left="142"/>
        <w:rPr>
          <w:color w:val="auto"/>
          <w:sz w:val="22"/>
          <w:szCs w:val="22"/>
        </w:rPr>
      </w:pPr>
    </w:p>
    <w:p w14:paraId="7B24F623" w14:textId="77777777" w:rsidR="000E5733" w:rsidRDefault="000E5733" w:rsidP="000E5733">
      <w:pPr>
        <w:pStyle w:val="Default"/>
        <w:spacing w:line="360" w:lineRule="auto"/>
        <w:ind w:left="142"/>
        <w:rPr>
          <w:color w:val="auto"/>
          <w:sz w:val="22"/>
          <w:szCs w:val="22"/>
        </w:rPr>
      </w:pPr>
    </w:p>
    <w:p w14:paraId="4C045B35" w14:textId="77777777" w:rsidR="000E5733" w:rsidRDefault="000E5733" w:rsidP="000E5733">
      <w:pPr>
        <w:pStyle w:val="Default"/>
        <w:spacing w:line="360" w:lineRule="auto"/>
        <w:ind w:left="142"/>
        <w:rPr>
          <w:color w:val="auto"/>
          <w:sz w:val="22"/>
          <w:szCs w:val="22"/>
        </w:rPr>
      </w:pPr>
    </w:p>
    <w:p w14:paraId="5E2BD1D9" w14:textId="23BE5E45" w:rsidR="000E5733" w:rsidRPr="00C81147" w:rsidRDefault="000E5733" w:rsidP="000E5733">
      <w:pPr>
        <w:pStyle w:val="Default"/>
        <w:spacing w:line="360" w:lineRule="auto"/>
        <w:ind w:left="142"/>
        <w:rPr>
          <w:i/>
          <w:iCs/>
          <w:color w:val="auto"/>
          <w:sz w:val="22"/>
          <w:szCs w:val="22"/>
        </w:rPr>
      </w:pPr>
      <w:r w:rsidRPr="00C81147">
        <w:rPr>
          <w:i/>
          <w:iCs/>
          <w:color w:val="auto"/>
          <w:sz w:val="22"/>
          <w:szCs w:val="22"/>
        </w:rPr>
        <w:t xml:space="preserve">Table </w:t>
      </w:r>
      <w:r>
        <w:rPr>
          <w:i/>
          <w:iCs/>
          <w:color w:val="auto"/>
          <w:sz w:val="22"/>
          <w:szCs w:val="22"/>
        </w:rPr>
        <w:t>8</w:t>
      </w:r>
      <w:r w:rsidRPr="00C81147">
        <w:rPr>
          <w:i/>
          <w:iCs/>
          <w:color w:val="auto"/>
          <w:sz w:val="22"/>
          <w:szCs w:val="22"/>
        </w:rPr>
        <w:t xml:space="preserve">: </w:t>
      </w:r>
      <w:proofErr w:type="spellStart"/>
      <w:r w:rsidRPr="00C81147">
        <w:rPr>
          <w:i/>
          <w:iCs/>
          <w:color w:val="auto"/>
          <w:sz w:val="22"/>
          <w:szCs w:val="22"/>
        </w:rPr>
        <w:t>HoNOS</w:t>
      </w:r>
      <w:proofErr w:type="spellEnd"/>
      <w:r w:rsidRPr="00C81147">
        <w:rPr>
          <w:i/>
          <w:iCs/>
          <w:color w:val="auto"/>
          <w:sz w:val="22"/>
          <w:szCs w:val="22"/>
        </w:rPr>
        <w:t xml:space="preserve"> and SWEMWBS clinical significance broken down by </w:t>
      </w:r>
      <w:r>
        <w:rPr>
          <w:i/>
          <w:iCs/>
          <w:color w:val="auto"/>
          <w:sz w:val="22"/>
          <w:szCs w:val="22"/>
        </w:rPr>
        <w:t>Age grouping.</w:t>
      </w:r>
    </w:p>
    <w:p w14:paraId="727AEA34" w14:textId="521E6A9E" w:rsidR="008834AE" w:rsidRPr="00491227" w:rsidRDefault="008834AE" w:rsidP="008834AE">
      <w:pPr>
        <w:pStyle w:val="Default"/>
        <w:spacing w:line="360" w:lineRule="auto"/>
        <w:rPr>
          <w:color w:val="auto"/>
          <w:sz w:val="22"/>
          <w:szCs w:val="22"/>
        </w:rPr>
      </w:pPr>
    </w:p>
    <w:p w14:paraId="7077B976" w14:textId="77777777" w:rsidR="008834AE" w:rsidRDefault="008834AE" w:rsidP="008834AE">
      <w:pPr>
        <w:pStyle w:val="Default"/>
        <w:spacing w:line="360" w:lineRule="auto"/>
        <w:ind w:left="142"/>
        <w:rPr>
          <w:color w:val="auto"/>
          <w:sz w:val="22"/>
          <w:szCs w:val="22"/>
        </w:rPr>
      </w:pPr>
      <w:r w:rsidRPr="00E72E89">
        <w:rPr>
          <w:noProof/>
        </w:rPr>
        <w:drawing>
          <wp:inline distT="0" distB="0" distL="0" distR="0" wp14:anchorId="1295381C" wp14:editId="019651E2">
            <wp:extent cx="5886450" cy="2362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86450" cy="2362200"/>
                    </a:xfrm>
                    <a:prstGeom prst="rect">
                      <a:avLst/>
                    </a:prstGeom>
                    <a:noFill/>
                    <a:ln>
                      <a:noFill/>
                    </a:ln>
                  </pic:spPr>
                </pic:pic>
              </a:graphicData>
            </a:graphic>
          </wp:inline>
        </w:drawing>
      </w:r>
    </w:p>
    <w:p w14:paraId="3C12C559" w14:textId="77777777" w:rsidR="008834AE" w:rsidRDefault="008834AE" w:rsidP="008834AE">
      <w:pPr>
        <w:pStyle w:val="Default"/>
        <w:spacing w:line="360" w:lineRule="auto"/>
        <w:ind w:left="142"/>
        <w:rPr>
          <w:color w:val="auto"/>
          <w:sz w:val="22"/>
          <w:szCs w:val="22"/>
        </w:rPr>
      </w:pPr>
    </w:p>
    <w:p w14:paraId="59B631B4" w14:textId="77777777" w:rsidR="008834AE" w:rsidRPr="00491227" w:rsidRDefault="008834AE" w:rsidP="008834AE">
      <w:pPr>
        <w:pStyle w:val="Default"/>
        <w:spacing w:line="360" w:lineRule="auto"/>
        <w:ind w:left="142"/>
        <w:rPr>
          <w:color w:val="auto"/>
          <w:sz w:val="22"/>
          <w:szCs w:val="22"/>
        </w:rPr>
      </w:pPr>
    </w:p>
    <w:p w14:paraId="3D9DB6B5" w14:textId="77777777" w:rsidR="008834AE" w:rsidRPr="00491227" w:rsidRDefault="008834AE" w:rsidP="008834AE">
      <w:pPr>
        <w:pStyle w:val="Default"/>
        <w:spacing w:line="360" w:lineRule="auto"/>
        <w:ind w:left="142"/>
        <w:rPr>
          <w:color w:val="auto"/>
          <w:sz w:val="22"/>
          <w:szCs w:val="22"/>
        </w:rPr>
      </w:pPr>
      <w:r w:rsidRPr="00491227">
        <w:rPr>
          <w:i/>
          <w:iCs/>
          <w:color w:val="auto"/>
          <w:sz w:val="22"/>
          <w:szCs w:val="22"/>
        </w:rPr>
        <w:t xml:space="preserve">Children and Younger People </w:t>
      </w:r>
    </w:p>
    <w:p w14:paraId="6677224E" w14:textId="77777777" w:rsidR="008834AE" w:rsidRPr="00491227" w:rsidRDefault="008834AE" w:rsidP="008834AE">
      <w:pPr>
        <w:pStyle w:val="Default"/>
        <w:spacing w:line="360" w:lineRule="auto"/>
        <w:ind w:left="142"/>
        <w:rPr>
          <w:color w:val="auto"/>
          <w:sz w:val="22"/>
          <w:szCs w:val="22"/>
        </w:rPr>
      </w:pPr>
      <w:r w:rsidRPr="00491227">
        <w:rPr>
          <w:color w:val="auto"/>
          <w:sz w:val="22"/>
          <w:szCs w:val="22"/>
        </w:rPr>
        <w:t xml:space="preserve">Significantly less outcomes were recorded for CYP in the age bracket 6-10 for both the clinician and patient rated measures. Only 19% had a paired </w:t>
      </w:r>
      <w:proofErr w:type="spellStart"/>
      <w:r w:rsidRPr="00491227">
        <w:rPr>
          <w:color w:val="auto"/>
          <w:sz w:val="22"/>
          <w:szCs w:val="22"/>
        </w:rPr>
        <w:t>HoNOSCA</w:t>
      </w:r>
      <w:proofErr w:type="spellEnd"/>
      <w:r w:rsidRPr="00491227">
        <w:rPr>
          <w:color w:val="auto"/>
          <w:sz w:val="22"/>
          <w:szCs w:val="22"/>
        </w:rPr>
        <w:t xml:space="preserve"> and 21% had a patient rated paired measure. Of those who change could be evaluated for, no significant differences in outcomes achieved were detected. </w:t>
      </w:r>
    </w:p>
    <w:p w14:paraId="036C0167" w14:textId="77777777" w:rsidR="008834AE" w:rsidRPr="00491227" w:rsidRDefault="008834AE" w:rsidP="008834AE">
      <w:pPr>
        <w:pStyle w:val="Default"/>
        <w:spacing w:line="360" w:lineRule="auto"/>
        <w:ind w:left="142"/>
        <w:rPr>
          <w:color w:val="auto"/>
          <w:sz w:val="22"/>
          <w:szCs w:val="22"/>
        </w:rPr>
      </w:pPr>
    </w:p>
    <w:p w14:paraId="29B1E8CA" w14:textId="77777777" w:rsidR="00AB3ABB" w:rsidRDefault="00AB3ABB">
      <w:pPr>
        <w:sectPr w:rsidR="00AB3ABB">
          <w:pgSz w:w="11910" w:h="16840"/>
          <w:pgMar w:top="1720" w:right="1320" w:bottom="1200" w:left="1320" w:header="708" w:footer="920" w:gutter="0"/>
          <w:cols w:space="720"/>
        </w:sectPr>
      </w:pPr>
    </w:p>
    <w:p w14:paraId="293C5731" w14:textId="77777777" w:rsidR="00AB3ABB" w:rsidRDefault="0017742F">
      <w:pPr>
        <w:pStyle w:val="BodyText"/>
        <w:spacing w:before="3"/>
      </w:pPr>
      <w:bookmarkStart w:id="10" w:name="_bookmark8"/>
      <w:bookmarkEnd w:id="10"/>
      <w:r>
        <w:rPr>
          <w:u w:val="single"/>
        </w:rPr>
        <w:t>Patient Experience</w:t>
      </w:r>
    </w:p>
    <w:p w14:paraId="0AE9BA10" w14:textId="2B84F7D0" w:rsidR="00AB3ABB" w:rsidRDefault="0017742F">
      <w:pPr>
        <w:pStyle w:val="BodyText"/>
        <w:spacing w:before="13" w:line="357" w:lineRule="auto"/>
        <w:ind w:right="110"/>
      </w:pPr>
      <w:r>
        <w:rPr>
          <w:color w:val="5A5A5A"/>
        </w:rPr>
        <w:t xml:space="preserve">Data: </w:t>
      </w:r>
      <w:r>
        <w:t>The data contained all patient experience measures completed between 1</w:t>
      </w:r>
      <w:proofErr w:type="spellStart"/>
      <w:r>
        <w:rPr>
          <w:position w:val="8"/>
          <w:sz w:val="14"/>
        </w:rPr>
        <w:t>st</w:t>
      </w:r>
      <w:proofErr w:type="spellEnd"/>
      <w:r>
        <w:rPr>
          <w:position w:val="8"/>
          <w:sz w:val="14"/>
        </w:rPr>
        <w:t xml:space="preserve"> </w:t>
      </w:r>
      <w:r>
        <w:t>Jan 202</w:t>
      </w:r>
      <w:r w:rsidR="002511BE">
        <w:t>2</w:t>
      </w:r>
      <w:r>
        <w:t xml:space="preserve"> and 31</w:t>
      </w:r>
      <w:proofErr w:type="spellStart"/>
      <w:r>
        <w:rPr>
          <w:position w:val="8"/>
          <w:sz w:val="14"/>
        </w:rPr>
        <w:t>st</w:t>
      </w:r>
      <w:proofErr w:type="spellEnd"/>
      <w:r>
        <w:rPr>
          <w:position w:val="8"/>
          <w:sz w:val="14"/>
        </w:rPr>
        <w:t xml:space="preserve"> </w:t>
      </w:r>
      <w:r>
        <w:t>Dec 2022</w:t>
      </w:r>
    </w:p>
    <w:p w14:paraId="4393A153" w14:textId="77777777" w:rsidR="00AB3ABB" w:rsidRDefault="0017742F">
      <w:pPr>
        <w:pStyle w:val="BodyText"/>
        <w:spacing w:before="161" w:line="360" w:lineRule="auto"/>
        <w:ind w:right="118"/>
      </w:pPr>
      <w:r>
        <w:rPr>
          <w:color w:val="5A5A5A"/>
        </w:rPr>
        <w:t xml:space="preserve">Analysis: </w:t>
      </w:r>
      <w:r>
        <w:t xml:space="preserve">Descriptive statistics were utilised </w:t>
      </w:r>
      <w:proofErr w:type="gramStart"/>
      <w:r>
        <w:t>in order to</w:t>
      </w:r>
      <w:proofErr w:type="gramEnd"/>
      <w:r>
        <w:t xml:space="preserve"> identify any patterns of variation between and within groups in relation to patient experience. Locality level data was included </w:t>
      </w:r>
      <w:proofErr w:type="gramStart"/>
      <w:r>
        <w:t>in order to</w:t>
      </w:r>
      <w:proofErr w:type="gramEnd"/>
      <w:r>
        <w:t xml:space="preserve"> assess any differences across the geographical patches.</w:t>
      </w:r>
    </w:p>
    <w:p w14:paraId="11A0B8C2" w14:textId="77777777" w:rsidR="00AB3ABB" w:rsidRDefault="0017742F">
      <w:pPr>
        <w:pStyle w:val="BodyText"/>
        <w:spacing w:before="160"/>
      </w:pPr>
      <w:r>
        <w:rPr>
          <w:color w:val="5A5A5A"/>
        </w:rPr>
        <w:t>Results:</w:t>
      </w:r>
    </w:p>
    <w:p w14:paraId="5DDCA884" w14:textId="77777777" w:rsidR="00AB3ABB" w:rsidRDefault="0017742F">
      <w:pPr>
        <w:pStyle w:val="BodyText"/>
        <w:spacing w:before="179"/>
      </w:pPr>
      <w:r>
        <w:rPr>
          <w:color w:val="5A5A5A"/>
        </w:rPr>
        <w:t>Ethnicity:</w:t>
      </w:r>
    </w:p>
    <w:p w14:paraId="67281C3A" w14:textId="77777777" w:rsidR="002511BE" w:rsidRDefault="002511BE" w:rsidP="002511BE">
      <w:pPr>
        <w:pStyle w:val="Default"/>
        <w:spacing w:line="360" w:lineRule="auto"/>
        <w:ind w:left="142"/>
        <w:rPr>
          <w:i/>
          <w:iCs/>
          <w:sz w:val="22"/>
          <w:szCs w:val="22"/>
        </w:rPr>
      </w:pPr>
      <w:r>
        <w:rPr>
          <w:i/>
          <w:iCs/>
          <w:sz w:val="22"/>
          <w:szCs w:val="22"/>
        </w:rPr>
        <w:t xml:space="preserve">Overall, patient experience was rated highly. In total 94% of patients across all ethnicities reported their experience as either good or very good and only 3% as poor or very poor. However, a significantly higher level of poor/very poor was observed for the group recorded as “Prefer not to say”. Of the 47 patients that identified within this group, 9% reported an experience of poor/very poor. This is significantly higher than any other group, but less than the reported figure of 16% last year. Evaluation at a locality level didn’t identify any differences that weren’t detectable at an aggregated level. </w:t>
      </w:r>
    </w:p>
    <w:p w14:paraId="427E0809" w14:textId="77777777" w:rsidR="00AB3ABB" w:rsidRDefault="0017742F">
      <w:pPr>
        <w:pStyle w:val="BodyText"/>
        <w:spacing w:before="162"/>
        <w:jc w:val="left"/>
      </w:pPr>
      <w:r>
        <w:rPr>
          <w:color w:val="5A5A5A"/>
        </w:rPr>
        <w:t>Gender:</w:t>
      </w:r>
    </w:p>
    <w:p w14:paraId="58B4A401" w14:textId="77777777" w:rsidR="002511BE" w:rsidRDefault="002511BE" w:rsidP="002511BE">
      <w:pPr>
        <w:pStyle w:val="Default"/>
        <w:spacing w:line="360" w:lineRule="auto"/>
        <w:ind w:left="142"/>
        <w:rPr>
          <w:i/>
          <w:iCs/>
          <w:sz w:val="22"/>
          <w:szCs w:val="22"/>
        </w:rPr>
      </w:pPr>
      <w:r>
        <w:rPr>
          <w:i/>
          <w:iCs/>
          <w:sz w:val="22"/>
          <w:szCs w:val="22"/>
        </w:rPr>
        <w:t xml:space="preserve">Overall, the ratings match those recorded for Ethnicity. 97% of Males in NYY reported their experience as either good or very good whilst in DTV&amp;F this was 94%. 84% of Children or young people in NYY reported their experience as either good or very good as opposed to 94% in DTV&amp;F. Again, a significantly higher level of poor/very poor was observed for the group recorded as “Prefer not to say”. Of the 100 patients that identified within this group, only 77% reported an experience of good/very good. This is significantly lower than any other group. </w:t>
      </w:r>
    </w:p>
    <w:p w14:paraId="441ACDAC" w14:textId="77777777" w:rsidR="00AB3ABB" w:rsidRDefault="00AB3ABB">
      <w:pPr>
        <w:pStyle w:val="BodyText"/>
        <w:spacing w:before="8"/>
        <w:ind w:left="0"/>
        <w:jc w:val="left"/>
        <w:rPr>
          <w:sz w:val="24"/>
        </w:rPr>
      </w:pPr>
    </w:p>
    <w:p w14:paraId="53510DA2" w14:textId="77777777" w:rsidR="00AB3ABB" w:rsidRDefault="0017742F">
      <w:pPr>
        <w:pStyle w:val="BodyText"/>
        <w:spacing w:before="1"/>
      </w:pPr>
      <w:r>
        <w:rPr>
          <w:color w:val="5A5A5A"/>
        </w:rPr>
        <w:t>Sexual Orientation:</w:t>
      </w:r>
    </w:p>
    <w:p w14:paraId="11B4D3FF" w14:textId="77777777" w:rsidR="002511BE" w:rsidRDefault="002511BE" w:rsidP="002511BE">
      <w:pPr>
        <w:pStyle w:val="Default"/>
        <w:ind w:firstLine="120"/>
        <w:rPr>
          <w:i/>
          <w:iCs/>
          <w:sz w:val="22"/>
          <w:szCs w:val="22"/>
        </w:rPr>
      </w:pPr>
      <w:r>
        <w:rPr>
          <w:i/>
          <w:iCs/>
          <w:sz w:val="22"/>
          <w:szCs w:val="22"/>
        </w:rPr>
        <w:t>No significant differences observed.</w:t>
      </w:r>
    </w:p>
    <w:p w14:paraId="71382F18" w14:textId="77777777" w:rsidR="00AB3ABB" w:rsidRDefault="0017742F">
      <w:pPr>
        <w:pStyle w:val="BodyText"/>
        <w:spacing w:before="162"/>
        <w:jc w:val="left"/>
      </w:pPr>
      <w:r>
        <w:rPr>
          <w:color w:val="5A5A5A"/>
        </w:rPr>
        <w:t>Age:</w:t>
      </w:r>
    </w:p>
    <w:p w14:paraId="509A0DBC" w14:textId="77777777" w:rsidR="002511BE" w:rsidRDefault="002511BE" w:rsidP="002511BE">
      <w:pPr>
        <w:pStyle w:val="Default"/>
        <w:spacing w:line="360" w:lineRule="auto"/>
        <w:ind w:left="142"/>
        <w:rPr>
          <w:i/>
          <w:iCs/>
          <w:sz w:val="22"/>
          <w:szCs w:val="22"/>
        </w:rPr>
      </w:pPr>
      <w:r>
        <w:rPr>
          <w:i/>
          <w:iCs/>
          <w:sz w:val="22"/>
          <w:szCs w:val="22"/>
        </w:rPr>
        <w:t xml:space="preserve">No significant differences in patient experience were reportable at an aggregated level across age groupings. Locality level analysis last year indicated a geographical difference in the 0-18 age group, where 14% reported poor/very poor experience within the North Yorkshire and York patch. </w:t>
      </w:r>
      <w:proofErr w:type="gramStart"/>
      <w:r>
        <w:rPr>
          <w:i/>
          <w:iCs/>
          <w:sz w:val="22"/>
          <w:szCs w:val="22"/>
        </w:rPr>
        <w:t>However</w:t>
      </w:r>
      <w:proofErr w:type="gramEnd"/>
      <w:r>
        <w:rPr>
          <w:i/>
          <w:iCs/>
          <w:sz w:val="22"/>
          <w:szCs w:val="22"/>
        </w:rPr>
        <w:t xml:space="preserve"> this year that rating had improved to only 3%</w:t>
      </w:r>
    </w:p>
    <w:p w14:paraId="589722E5" w14:textId="77777777" w:rsidR="00AB3ABB" w:rsidRDefault="0017742F">
      <w:pPr>
        <w:pStyle w:val="BodyText"/>
        <w:spacing w:before="150"/>
      </w:pPr>
      <w:r>
        <w:rPr>
          <w:color w:val="5A5A5A"/>
        </w:rPr>
        <w:t>Disability:</w:t>
      </w:r>
    </w:p>
    <w:p w14:paraId="39229571" w14:textId="77777777" w:rsidR="00AB3ABB" w:rsidRDefault="0017742F">
      <w:pPr>
        <w:pStyle w:val="BodyText"/>
        <w:spacing w:before="181" w:line="362" w:lineRule="auto"/>
        <w:ind w:right="119"/>
      </w:pPr>
      <w:r>
        <w:t>No significant differences were observed at any level in relation to patient experience and disability.</w:t>
      </w:r>
    </w:p>
    <w:sectPr w:rsidR="00AB3ABB">
      <w:pgSz w:w="11910" w:h="16840"/>
      <w:pgMar w:top="1720" w:right="1320" w:bottom="1200" w:left="1320" w:header="708" w:footer="9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52D727" w14:textId="77777777" w:rsidR="001B31B1" w:rsidRDefault="001B31B1">
      <w:r>
        <w:separator/>
      </w:r>
    </w:p>
  </w:endnote>
  <w:endnote w:type="continuationSeparator" w:id="0">
    <w:p w14:paraId="6B1A7F9A" w14:textId="77777777" w:rsidR="001B31B1" w:rsidRDefault="001B31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irmala UI">
    <w:panose1 w:val="020B0502040204020203"/>
    <w:charset w:val="00"/>
    <w:family w:val="swiss"/>
    <w:pitch w:val="variable"/>
    <w:sig w:usb0="80FF8023" w:usb1="02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1574C7" w14:textId="069EA767" w:rsidR="00AB3ABB" w:rsidRDefault="0017742F">
    <w:pPr>
      <w:pStyle w:val="BodyText"/>
      <w:spacing w:line="14" w:lineRule="auto"/>
      <w:ind w:left="0"/>
      <w:jc w:val="left"/>
      <w:rPr>
        <w:sz w:val="14"/>
      </w:rPr>
    </w:pPr>
    <w:r>
      <w:rPr>
        <w:noProof/>
      </w:rPr>
      <mc:AlternateContent>
        <mc:Choice Requires="wps">
          <w:drawing>
            <wp:anchor distT="0" distB="0" distL="114300" distR="114300" simplePos="0" relativeHeight="251658752" behindDoc="1" locked="0" layoutInCell="1" allowOverlap="1" wp14:anchorId="7FB541E8" wp14:editId="32872B8E">
              <wp:simplePos x="0" y="0"/>
              <wp:positionH relativeFrom="page">
                <wp:posOffset>6467475</wp:posOffset>
              </wp:positionH>
              <wp:positionV relativeFrom="page">
                <wp:posOffset>9917430</wp:posOffset>
              </wp:positionV>
              <wp:extent cx="219710" cy="1657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31F20" w14:textId="77777777" w:rsidR="00AB3ABB" w:rsidRDefault="0017742F">
                          <w:pPr>
                            <w:pStyle w:val="BodyText"/>
                            <w:spacing w:line="245" w:lineRule="exact"/>
                            <w:ind w:left="60"/>
                            <w:jc w:val="left"/>
                            <w:rPr>
                              <w:rFonts w:ascii="Calibri"/>
                            </w:rPr>
                          </w:pPr>
                          <w:r>
                            <w:fldChar w:fldCharType="begin"/>
                          </w:r>
                          <w:r>
                            <w:rPr>
                              <w:rFonts w:ascii="Calibri"/>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B541E8" id="_x0000_t202" coordsize="21600,21600" o:spt="202" path="m,l,21600r21600,l21600,xe">
              <v:stroke joinstyle="miter"/>
              <v:path gradientshapeok="t" o:connecttype="rect"/>
            </v:shapetype>
            <v:shape id="Text Box 1" o:spid="_x0000_s1026" type="#_x0000_t202" style="position:absolute;margin-left:509.25pt;margin-top:780.9pt;width:17.3pt;height:13.0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" filled="f" stroked="f">
              <v:textbox inset="0,0,0,0">
                <w:txbxContent>
                  <w:p w14:paraId="4FF31F20" w14:textId="77777777" w:rsidR="00AB3ABB" w:rsidRDefault="0017742F">
                    <w:pPr>
                      <w:pStyle w:val="BodyText"/>
                      <w:spacing w:line="245" w:lineRule="exact"/>
                      <w:ind w:left="60"/>
                      <w:jc w:val="left"/>
                      <w:rPr>
                        <w:rFonts w:ascii="Calibri"/>
                      </w:rPr>
                    </w:pPr>
                    <w:r>
                      <w:fldChar w:fldCharType="begin"/>
                    </w:r>
                    <w:r>
                      <w:rPr>
                        <w:rFonts w:ascii="Calibri"/>
                      </w:rPr>
                      <w:instrText xml:space="preserve"> PAGE </w:instrText>
                    </w:r>
                    <w:r>
                      <w:fldChar w:fldCharType="separate"/>
                    </w:r>
                    <w:r>
                      <w:t>10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583B73" w14:textId="77777777" w:rsidR="001B31B1" w:rsidRDefault="001B31B1">
      <w:r>
        <w:separator/>
      </w:r>
    </w:p>
  </w:footnote>
  <w:footnote w:type="continuationSeparator" w:id="0">
    <w:p w14:paraId="0B7387B6" w14:textId="77777777" w:rsidR="001B31B1" w:rsidRDefault="001B31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C3739" w14:textId="1BBC239C" w:rsidR="00AB3ABB" w:rsidRDefault="0017742F">
    <w:pPr>
      <w:pStyle w:val="BodyText"/>
      <w:spacing w:line="14" w:lineRule="auto"/>
      <w:ind w:left="0"/>
      <w:jc w:val="left"/>
      <w:rPr>
        <w:sz w:val="20"/>
      </w:rPr>
    </w:pPr>
    <w:r>
      <w:rPr>
        <w:noProof/>
      </w:rPr>
      <w:drawing>
        <wp:anchor distT="0" distB="0" distL="0" distR="0" simplePos="0" relativeHeight="251657728" behindDoc="1" locked="0" layoutInCell="1" allowOverlap="1" wp14:anchorId="1DD8F070" wp14:editId="1BAEE992">
          <wp:simplePos x="0" y="0"/>
          <wp:positionH relativeFrom="page">
            <wp:posOffset>4905375</wp:posOffset>
          </wp:positionH>
          <wp:positionV relativeFrom="page">
            <wp:posOffset>473074</wp:posOffset>
          </wp:positionV>
          <wp:extent cx="1733020" cy="626109"/>
          <wp:effectExtent l="0" t="0" r="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 cstate="print"/>
                  <a:stretch>
                    <a:fillRect/>
                  </a:stretch>
                </pic:blipFill>
                <pic:spPr>
                  <a:xfrm>
                    <a:off x="0" y="0"/>
                    <a:ext cx="1733020" cy="626109"/>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237392"/>
    <w:multiLevelType w:val="multilevel"/>
    <w:tmpl w:val="0E4A9584"/>
    <w:lvl w:ilvl="0">
      <w:start w:val="7"/>
      <w:numFmt w:val="decimal"/>
      <w:lvlText w:val="%1"/>
      <w:lvlJc w:val="left"/>
      <w:pPr>
        <w:ind w:left="840" w:hanging="720"/>
        <w:jc w:val="left"/>
      </w:pPr>
      <w:rPr>
        <w:rFonts w:hint="default"/>
        <w:lang w:val="en-GB" w:eastAsia="en-GB" w:bidi="en-GB"/>
      </w:rPr>
    </w:lvl>
    <w:lvl w:ilvl="1">
      <w:numFmt w:val="decimal"/>
      <w:lvlText w:val="%1.%2"/>
      <w:lvlJc w:val="left"/>
      <w:pPr>
        <w:ind w:left="840" w:hanging="720"/>
        <w:jc w:val="right"/>
      </w:pPr>
      <w:rPr>
        <w:rFonts w:hint="default"/>
        <w:b/>
        <w:bCs/>
        <w:w w:val="100"/>
        <w:lang w:val="en-GB" w:eastAsia="en-GB" w:bidi="en-GB"/>
      </w:rPr>
    </w:lvl>
    <w:lvl w:ilvl="2">
      <w:numFmt w:val="bullet"/>
      <w:lvlText w:val="•"/>
      <w:lvlJc w:val="left"/>
      <w:pPr>
        <w:ind w:left="2525" w:hanging="720"/>
      </w:pPr>
      <w:rPr>
        <w:rFonts w:hint="default"/>
        <w:lang w:val="en-GB" w:eastAsia="en-GB" w:bidi="en-GB"/>
      </w:rPr>
    </w:lvl>
    <w:lvl w:ilvl="3">
      <w:numFmt w:val="bullet"/>
      <w:lvlText w:val="•"/>
      <w:lvlJc w:val="left"/>
      <w:pPr>
        <w:ind w:left="3367" w:hanging="720"/>
      </w:pPr>
      <w:rPr>
        <w:rFonts w:hint="default"/>
        <w:lang w:val="en-GB" w:eastAsia="en-GB" w:bidi="en-GB"/>
      </w:rPr>
    </w:lvl>
    <w:lvl w:ilvl="4">
      <w:numFmt w:val="bullet"/>
      <w:lvlText w:val="•"/>
      <w:lvlJc w:val="left"/>
      <w:pPr>
        <w:ind w:left="4210" w:hanging="720"/>
      </w:pPr>
      <w:rPr>
        <w:rFonts w:hint="default"/>
        <w:lang w:val="en-GB" w:eastAsia="en-GB" w:bidi="en-GB"/>
      </w:rPr>
    </w:lvl>
    <w:lvl w:ilvl="5">
      <w:numFmt w:val="bullet"/>
      <w:lvlText w:val="•"/>
      <w:lvlJc w:val="left"/>
      <w:pPr>
        <w:ind w:left="5053" w:hanging="720"/>
      </w:pPr>
      <w:rPr>
        <w:rFonts w:hint="default"/>
        <w:lang w:val="en-GB" w:eastAsia="en-GB" w:bidi="en-GB"/>
      </w:rPr>
    </w:lvl>
    <w:lvl w:ilvl="6">
      <w:numFmt w:val="bullet"/>
      <w:lvlText w:val="•"/>
      <w:lvlJc w:val="left"/>
      <w:pPr>
        <w:ind w:left="5895" w:hanging="720"/>
      </w:pPr>
      <w:rPr>
        <w:rFonts w:hint="default"/>
        <w:lang w:val="en-GB" w:eastAsia="en-GB" w:bidi="en-GB"/>
      </w:rPr>
    </w:lvl>
    <w:lvl w:ilvl="7">
      <w:numFmt w:val="bullet"/>
      <w:lvlText w:val="•"/>
      <w:lvlJc w:val="left"/>
      <w:pPr>
        <w:ind w:left="6738" w:hanging="720"/>
      </w:pPr>
      <w:rPr>
        <w:rFonts w:hint="default"/>
        <w:lang w:val="en-GB" w:eastAsia="en-GB" w:bidi="en-GB"/>
      </w:rPr>
    </w:lvl>
    <w:lvl w:ilvl="8">
      <w:numFmt w:val="bullet"/>
      <w:lvlText w:val="•"/>
      <w:lvlJc w:val="left"/>
      <w:pPr>
        <w:ind w:left="7581" w:hanging="720"/>
      </w:pPr>
      <w:rPr>
        <w:rFonts w:hint="default"/>
        <w:lang w:val="en-GB" w:eastAsia="en-GB" w:bidi="en-GB"/>
      </w:rPr>
    </w:lvl>
  </w:abstractNum>
  <w:abstractNum w:abstractNumId="1" w15:restartNumberingAfterBreak="0">
    <w:nsid w:val="268155EF"/>
    <w:multiLevelType w:val="multilevel"/>
    <w:tmpl w:val="16CAA220"/>
    <w:lvl w:ilvl="0">
      <w:start w:val="2"/>
      <w:numFmt w:val="decimal"/>
      <w:lvlText w:val="%1"/>
      <w:lvlJc w:val="left"/>
      <w:pPr>
        <w:ind w:left="840" w:hanging="720"/>
        <w:jc w:val="left"/>
      </w:pPr>
      <w:rPr>
        <w:rFonts w:hint="default"/>
        <w:lang w:val="en-GB" w:eastAsia="en-GB" w:bidi="en-GB"/>
      </w:rPr>
    </w:lvl>
    <w:lvl w:ilvl="1">
      <w:numFmt w:val="decimal"/>
      <w:lvlText w:val="%1.%2"/>
      <w:lvlJc w:val="left"/>
      <w:pPr>
        <w:ind w:left="840" w:hanging="720"/>
        <w:jc w:val="right"/>
      </w:pPr>
      <w:rPr>
        <w:rFonts w:hint="default"/>
        <w:b/>
        <w:bCs/>
        <w:w w:val="100"/>
        <w:lang w:val="en-GB" w:eastAsia="en-GB" w:bidi="en-GB"/>
      </w:rPr>
    </w:lvl>
    <w:lvl w:ilvl="2">
      <w:numFmt w:val="bullet"/>
      <w:lvlText w:val=""/>
      <w:lvlJc w:val="left"/>
      <w:pPr>
        <w:ind w:left="1898" w:hanging="360"/>
      </w:pPr>
      <w:rPr>
        <w:rFonts w:ascii="Symbol" w:eastAsia="Symbol" w:hAnsi="Symbol" w:cs="Symbol" w:hint="default"/>
        <w:w w:val="100"/>
        <w:sz w:val="22"/>
        <w:szCs w:val="22"/>
        <w:lang w:val="en-GB" w:eastAsia="en-GB" w:bidi="en-GB"/>
      </w:rPr>
    </w:lvl>
    <w:lvl w:ilvl="3">
      <w:numFmt w:val="bullet"/>
      <w:lvlText w:val="•"/>
      <w:lvlJc w:val="left"/>
      <w:pPr>
        <w:ind w:left="3536" w:hanging="360"/>
      </w:pPr>
      <w:rPr>
        <w:rFonts w:hint="default"/>
        <w:lang w:val="en-GB" w:eastAsia="en-GB" w:bidi="en-GB"/>
      </w:rPr>
    </w:lvl>
    <w:lvl w:ilvl="4">
      <w:numFmt w:val="bullet"/>
      <w:lvlText w:val="•"/>
      <w:lvlJc w:val="left"/>
      <w:pPr>
        <w:ind w:left="4355" w:hanging="360"/>
      </w:pPr>
      <w:rPr>
        <w:rFonts w:hint="default"/>
        <w:lang w:val="en-GB" w:eastAsia="en-GB" w:bidi="en-GB"/>
      </w:rPr>
    </w:lvl>
    <w:lvl w:ilvl="5">
      <w:numFmt w:val="bullet"/>
      <w:lvlText w:val="•"/>
      <w:lvlJc w:val="left"/>
      <w:pPr>
        <w:ind w:left="5173" w:hanging="360"/>
      </w:pPr>
      <w:rPr>
        <w:rFonts w:hint="default"/>
        <w:lang w:val="en-GB" w:eastAsia="en-GB" w:bidi="en-GB"/>
      </w:rPr>
    </w:lvl>
    <w:lvl w:ilvl="6">
      <w:numFmt w:val="bullet"/>
      <w:lvlText w:val="•"/>
      <w:lvlJc w:val="left"/>
      <w:pPr>
        <w:ind w:left="5992" w:hanging="360"/>
      </w:pPr>
      <w:rPr>
        <w:rFonts w:hint="default"/>
        <w:lang w:val="en-GB" w:eastAsia="en-GB" w:bidi="en-GB"/>
      </w:rPr>
    </w:lvl>
    <w:lvl w:ilvl="7">
      <w:numFmt w:val="bullet"/>
      <w:lvlText w:val="•"/>
      <w:lvlJc w:val="left"/>
      <w:pPr>
        <w:ind w:left="6810" w:hanging="360"/>
      </w:pPr>
      <w:rPr>
        <w:rFonts w:hint="default"/>
        <w:lang w:val="en-GB" w:eastAsia="en-GB" w:bidi="en-GB"/>
      </w:rPr>
    </w:lvl>
    <w:lvl w:ilvl="8">
      <w:numFmt w:val="bullet"/>
      <w:lvlText w:val="•"/>
      <w:lvlJc w:val="left"/>
      <w:pPr>
        <w:ind w:left="7629" w:hanging="360"/>
      </w:pPr>
      <w:rPr>
        <w:rFonts w:hint="default"/>
        <w:lang w:val="en-GB" w:eastAsia="en-GB" w:bidi="en-GB"/>
      </w:rPr>
    </w:lvl>
  </w:abstractNum>
  <w:abstractNum w:abstractNumId="2" w15:restartNumberingAfterBreak="0">
    <w:nsid w:val="38CF12CE"/>
    <w:multiLevelType w:val="multilevel"/>
    <w:tmpl w:val="57C69992"/>
    <w:lvl w:ilvl="0">
      <w:start w:val="5"/>
      <w:numFmt w:val="decimal"/>
      <w:lvlText w:val="%1"/>
      <w:lvlJc w:val="left"/>
      <w:pPr>
        <w:ind w:left="840" w:hanging="720"/>
        <w:jc w:val="left"/>
      </w:pPr>
      <w:rPr>
        <w:rFonts w:hint="default"/>
        <w:lang w:val="en-GB" w:eastAsia="en-GB" w:bidi="en-GB"/>
      </w:rPr>
    </w:lvl>
    <w:lvl w:ilvl="1">
      <w:numFmt w:val="decimal"/>
      <w:lvlText w:val="%1.%2"/>
      <w:lvlJc w:val="left"/>
      <w:pPr>
        <w:ind w:left="840" w:hanging="720"/>
        <w:jc w:val="right"/>
      </w:pPr>
      <w:rPr>
        <w:rFonts w:hint="default"/>
        <w:b/>
        <w:bCs/>
        <w:w w:val="100"/>
        <w:lang w:val="en-GB" w:eastAsia="en-GB" w:bidi="en-GB"/>
      </w:rPr>
    </w:lvl>
    <w:lvl w:ilvl="2">
      <w:numFmt w:val="bullet"/>
      <w:lvlText w:val="•"/>
      <w:lvlJc w:val="left"/>
      <w:pPr>
        <w:ind w:left="2525" w:hanging="720"/>
      </w:pPr>
      <w:rPr>
        <w:rFonts w:hint="default"/>
        <w:lang w:val="en-GB" w:eastAsia="en-GB" w:bidi="en-GB"/>
      </w:rPr>
    </w:lvl>
    <w:lvl w:ilvl="3">
      <w:numFmt w:val="bullet"/>
      <w:lvlText w:val="•"/>
      <w:lvlJc w:val="left"/>
      <w:pPr>
        <w:ind w:left="3367" w:hanging="720"/>
      </w:pPr>
      <w:rPr>
        <w:rFonts w:hint="default"/>
        <w:lang w:val="en-GB" w:eastAsia="en-GB" w:bidi="en-GB"/>
      </w:rPr>
    </w:lvl>
    <w:lvl w:ilvl="4">
      <w:numFmt w:val="bullet"/>
      <w:lvlText w:val="•"/>
      <w:lvlJc w:val="left"/>
      <w:pPr>
        <w:ind w:left="4210" w:hanging="720"/>
      </w:pPr>
      <w:rPr>
        <w:rFonts w:hint="default"/>
        <w:lang w:val="en-GB" w:eastAsia="en-GB" w:bidi="en-GB"/>
      </w:rPr>
    </w:lvl>
    <w:lvl w:ilvl="5">
      <w:numFmt w:val="bullet"/>
      <w:lvlText w:val="•"/>
      <w:lvlJc w:val="left"/>
      <w:pPr>
        <w:ind w:left="5053" w:hanging="720"/>
      </w:pPr>
      <w:rPr>
        <w:rFonts w:hint="default"/>
        <w:lang w:val="en-GB" w:eastAsia="en-GB" w:bidi="en-GB"/>
      </w:rPr>
    </w:lvl>
    <w:lvl w:ilvl="6">
      <w:numFmt w:val="bullet"/>
      <w:lvlText w:val="•"/>
      <w:lvlJc w:val="left"/>
      <w:pPr>
        <w:ind w:left="5895" w:hanging="720"/>
      </w:pPr>
      <w:rPr>
        <w:rFonts w:hint="default"/>
        <w:lang w:val="en-GB" w:eastAsia="en-GB" w:bidi="en-GB"/>
      </w:rPr>
    </w:lvl>
    <w:lvl w:ilvl="7">
      <w:numFmt w:val="bullet"/>
      <w:lvlText w:val="•"/>
      <w:lvlJc w:val="left"/>
      <w:pPr>
        <w:ind w:left="6738" w:hanging="720"/>
      </w:pPr>
      <w:rPr>
        <w:rFonts w:hint="default"/>
        <w:lang w:val="en-GB" w:eastAsia="en-GB" w:bidi="en-GB"/>
      </w:rPr>
    </w:lvl>
    <w:lvl w:ilvl="8">
      <w:numFmt w:val="bullet"/>
      <w:lvlText w:val="•"/>
      <w:lvlJc w:val="left"/>
      <w:pPr>
        <w:ind w:left="7581" w:hanging="720"/>
      </w:pPr>
      <w:rPr>
        <w:rFonts w:hint="default"/>
        <w:lang w:val="en-GB" w:eastAsia="en-GB" w:bidi="en-GB"/>
      </w:rPr>
    </w:lvl>
  </w:abstractNum>
  <w:abstractNum w:abstractNumId="3" w15:restartNumberingAfterBreak="0">
    <w:nsid w:val="3C2A6A2F"/>
    <w:multiLevelType w:val="hybridMultilevel"/>
    <w:tmpl w:val="BFF83366"/>
    <w:lvl w:ilvl="0" w:tplc="5164E670">
      <w:numFmt w:val="bullet"/>
      <w:lvlText w:val=""/>
      <w:lvlJc w:val="left"/>
      <w:pPr>
        <w:ind w:left="827" w:hanging="360"/>
      </w:pPr>
      <w:rPr>
        <w:rFonts w:ascii="Symbol" w:eastAsia="Symbol" w:hAnsi="Symbol" w:cs="Symbol" w:hint="default"/>
        <w:w w:val="100"/>
        <w:sz w:val="22"/>
        <w:szCs w:val="22"/>
        <w:lang w:val="en-GB" w:eastAsia="en-GB" w:bidi="en-GB"/>
      </w:rPr>
    </w:lvl>
    <w:lvl w:ilvl="1" w:tplc="DDC21586">
      <w:numFmt w:val="bullet"/>
      <w:lvlText w:val="•"/>
      <w:lvlJc w:val="left"/>
      <w:pPr>
        <w:ind w:left="1629" w:hanging="360"/>
      </w:pPr>
      <w:rPr>
        <w:rFonts w:hint="default"/>
        <w:lang w:val="en-GB" w:eastAsia="en-GB" w:bidi="en-GB"/>
      </w:rPr>
    </w:lvl>
    <w:lvl w:ilvl="2" w:tplc="16587CAC">
      <w:numFmt w:val="bullet"/>
      <w:lvlText w:val="•"/>
      <w:lvlJc w:val="left"/>
      <w:pPr>
        <w:ind w:left="2439" w:hanging="360"/>
      </w:pPr>
      <w:rPr>
        <w:rFonts w:hint="default"/>
        <w:lang w:val="en-GB" w:eastAsia="en-GB" w:bidi="en-GB"/>
      </w:rPr>
    </w:lvl>
    <w:lvl w:ilvl="3" w:tplc="6F244FBA">
      <w:numFmt w:val="bullet"/>
      <w:lvlText w:val="•"/>
      <w:lvlJc w:val="left"/>
      <w:pPr>
        <w:ind w:left="3249" w:hanging="360"/>
      </w:pPr>
      <w:rPr>
        <w:rFonts w:hint="default"/>
        <w:lang w:val="en-GB" w:eastAsia="en-GB" w:bidi="en-GB"/>
      </w:rPr>
    </w:lvl>
    <w:lvl w:ilvl="4" w:tplc="F12A9866">
      <w:numFmt w:val="bullet"/>
      <w:lvlText w:val="•"/>
      <w:lvlJc w:val="left"/>
      <w:pPr>
        <w:ind w:left="4058" w:hanging="360"/>
      </w:pPr>
      <w:rPr>
        <w:rFonts w:hint="default"/>
        <w:lang w:val="en-GB" w:eastAsia="en-GB" w:bidi="en-GB"/>
      </w:rPr>
    </w:lvl>
    <w:lvl w:ilvl="5" w:tplc="EAD806EA">
      <w:numFmt w:val="bullet"/>
      <w:lvlText w:val="•"/>
      <w:lvlJc w:val="left"/>
      <w:pPr>
        <w:ind w:left="4868" w:hanging="360"/>
      </w:pPr>
      <w:rPr>
        <w:rFonts w:hint="default"/>
        <w:lang w:val="en-GB" w:eastAsia="en-GB" w:bidi="en-GB"/>
      </w:rPr>
    </w:lvl>
    <w:lvl w:ilvl="6" w:tplc="93D60D8E">
      <w:numFmt w:val="bullet"/>
      <w:lvlText w:val="•"/>
      <w:lvlJc w:val="left"/>
      <w:pPr>
        <w:ind w:left="5678" w:hanging="360"/>
      </w:pPr>
      <w:rPr>
        <w:rFonts w:hint="default"/>
        <w:lang w:val="en-GB" w:eastAsia="en-GB" w:bidi="en-GB"/>
      </w:rPr>
    </w:lvl>
    <w:lvl w:ilvl="7" w:tplc="41A25384">
      <w:numFmt w:val="bullet"/>
      <w:lvlText w:val="•"/>
      <w:lvlJc w:val="left"/>
      <w:pPr>
        <w:ind w:left="6487" w:hanging="360"/>
      </w:pPr>
      <w:rPr>
        <w:rFonts w:hint="default"/>
        <w:lang w:val="en-GB" w:eastAsia="en-GB" w:bidi="en-GB"/>
      </w:rPr>
    </w:lvl>
    <w:lvl w:ilvl="8" w:tplc="6DD05812">
      <w:numFmt w:val="bullet"/>
      <w:lvlText w:val="•"/>
      <w:lvlJc w:val="left"/>
      <w:pPr>
        <w:ind w:left="7297" w:hanging="360"/>
      </w:pPr>
      <w:rPr>
        <w:rFonts w:hint="default"/>
        <w:lang w:val="en-GB" w:eastAsia="en-GB" w:bidi="en-GB"/>
      </w:rPr>
    </w:lvl>
  </w:abstractNum>
  <w:abstractNum w:abstractNumId="4" w15:restartNumberingAfterBreak="0">
    <w:nsid w:val="3CFB2072"/>
    <w:multiLevelType w:val="hybridMultilevel"/>
    <w:tmpl w:val="C5BA02BE"/>
    <w:lvl w:ilvl="0" w:tplc="8DD83B6C">
      <w:numFmt w:val="bullet"/>
      <w:lvlText w:val=""/>
      <w:lvlJc w:val="left"/>
      <w:pPr>
        <w:ind w:left="972" w:hanging="425"/>
      </w:pPr>
      <w:rPr>
        <w:rFonts w:ascii="Symbol" w:eastAsia="Symbol" w:hAnsi="Symbol" w:cs="Symbol" w:hint="default"/>
        <w:w w:val="100"/>
        <w:sz w:val="22"/>
        <w:szCs w:val="22"/>
        <w:lang w:val="en-GB" w:eastAsia="en-GB" w:bidi="en-GB"/>
      </w:rPr>
    </w:lvl>
    <w:lvl w:ilvl="1" w:tplc="27DA4A56">
      <w:numFmt w:val="bullet"/>
      <w:lvlText w:val="•"/>
      <w:lvlJc w:val="left"/>
      <w:pPr>
        <w:ind w:left="1808" w:hanging="425"/>
      </w:pPr>
      <w:rPr>
        <w:rFonts w:hint="default"/>
        <w:lang w:val="en-GB" w:eastAsia="en-GB" w:bidi="en-GB"/>
      </w:rPr>
    </w:lvl>
    <w:lvl w:ilvl="2" w:tplc="4DFC3F5C">
      <w:numFmt w:val="bullet"/>
      <w:lvlText w:val="•"/>
      <w:lvlJc w:val="left"/>
      <w:pPr>
        <w:ind w:left="2637" w:hanging="425"/>
      </w:pPr>
      <w:rPr>
        <w:rFonts w:hint="default"/>
        <w:lang w:val="en-GB" w:eastAsia="en-GB" w:bidi="en-GB"/>
      </w:rPr>
    </w:lvl>
    <w:lvl w:ilvl="3" w:tplc="2090A756">
      <w:numFmt w:val="bullet"/>
      <w:lvlText w:val="•"/>
      <w:lvlJc w:val="left"/>
      <w:pPr>
        <w:ind w:left="3465" w:hanging="425"/>
      </w:pPr>
      <w:rPr>
        <w:rFonts w:hint="default"/>
        <w:lang w:val="en-GB" w:eastAsia="en-GB" w:bidi="en-GB"/>
      </w:rPr>
    </w:lvl>
    <w:lvl w:ilvl="4" w:tplc="2CF2B52C">
      <w:numFmt w:val="bullet"/>
      <w:lvlText w:val="•"/>
      <w:lvlJc w:val="left"/>
      <w:pPr>
        <w:ind w:left="4294" w:hanging="425"/>
      </w:pPr>
      <w:rPr>
        <w:rFonts w:hint="default"/>
        <w:lang w:val="en-GB" w:eastAsia="en-GB" w:bidi="en-GB"/>
      </w:rPr>
    </w:lvl>
    <w:lvl w:ilvl="5" w:tplc="CF962416">
      <w:numFmt w:val="bullet"/>
      <w:lvlText w:val="•"/>
      <w:lvlJc w:val="left"/>
      <w:pPr>
        <w:ind w:left="5123" w:hanging="425"/>
      </w:pPr>
      <w:rPr>
        <w:rFonts w:hint="default"/>
        <w:lang w:val="en-GB" w:eastAsia="en-GB" w:bidi="en-GB"/>
      </w:rPr>
    </w:lvl>
    <w:lvl w:ilvl="6" w:tplc="EA1237EC">
      <w:numFmt w:val="bullet"/>
      <w:lvlText w:val="•"/>
      <w:lvlJc w:val="left"/>
      <w:pPr>
        <w:ind w:left="5951" w:hanging="425"/>
      </w:pPr>
      <w:rPr>
        <w:rFonts w:hint="default"/>
        <w:lang w:val="en-GB" w:eastAsia="en-GB" w:bidi="en-GB"/>
      </w:rPr>
    </w:lvl>
    <w:lvl w:ilvl="7" w:tplc="C0C00DEE">
      <w:numFmt w:val="bullet"/>
      <w:lvlText w:val="•"/>
      <w:lvlJc w:val="left"/>
      <w:pPr>
        <w:ind w:left="6780" w:hanging="425"/>
      </w:pPr>
      <w:rPr>
        <w:rFonts w:hint="default"/>
        <w:lang w:val="en-GB" w:eastAsia="en-GB" w:bidi="en-GB"/>
      </w:rPr>
    </w:lvl>
    <w:lvl w:ilvl="8" w:tplc="B6E4E072">
      <w:numFmt w:val="bullet"/>
      <w:lvlText w:val="•"/>
      <w:lvlJc w:val="left"/>
      <w:pPr>
        <w:ind w:left="7609" w:hanging="425"/>
      </w:pPr>
      <w:rPr>
        <w:rFonts w:hint="default"/>
        <w:lang w:val="en-GB" w:eastAsia="en-GB" w:bidi="en-GB"/>
      </w:rPr>
    </w:lvl>
  </w:abstractNum>
  <w:abstractNum w:abstractNumId="5" w15:restartNumberingAfterBreak="0">
    <w:nsid w:val="60F4355C"/>
    <w:multiLevelType w:val="multilevel"/>
    <w:tmpl w:val="9A5C5BB8"/>
    <w:lvl w:ilvl="0">
      <w:start w:val="1"/>
      <w:numFmt w:val="decimal"/>
      <w:lvlText w:val="%1"/>
      <w:lvlJc w:val="left"/>
      <w:pPr>
        <w:ind w:left="840" w:hanging="720"/>
        <w:jc w:val="left"/>
      </w:pPr>
      <w:rPr>
        <w:rFonts w:hint="default"/>
        <w:lang w:val="en-GB" w:eastAsia="en-GB" w:bidi="en-GB"/>
      </w:rPr>
    </w:lvl>
    <w:lvl w:ilvl="1">
      <w:numFmt w:val="decimal"/>
      <w:lvlText w:val="%1.%2"/>
      <w:lvlJc w:val="left"/>
      <w:pPr>
        <w:ind w:left="840" w:hanging="720"/>
        <w:jc w:val="right"/>
      </w:pPr>
      <w:rPr>
        <w:rFonts w:hint="default"/>
        <w:b/>
        <w:bCs/>
        <w:w w:val="100"/>
        <w:lang w:val="en-GB" w:eastAsia="en-GB" w:bidi="en-GB"/>
      </w:rPr>
    </w:lvl>
    <w:lvl w:ilvl="2">
      <w:numFmt w:val="bullet"/>
      <w:lvlText w:val="•"/>
      <w:lvlJc w:val="left"/>
      <w:pPr>
        <w:ind w:left="2525" w:hanging="720"/>
      </w:pPr>
      <w:rPr>
        <w:rFonts w:hint="default"/>
        <w:lang w:val="en-GB" w:eastAsia="en-GB" w:bidi="en-GB"/>
      </w:rPr>
    </w:lvl>
    <w:lvl w:ilvl="3">
      <w:numFmt w:val="bullet"/>
      <w:lvlText w:val="•"/>
      <w:lvlJc w:val="left"/>
      <w:pPr>
        <w:ind w:left="3367" w:hanging="720"/>
      </w:pPr>
      <w:rPr>
        <w:rFonts w:hint="default"/>
        <w:lang w:val="en-GB" w:eastAsia="en-GB" w:bidi="en-GB"/>
      </w:rPr>
    </w:lvl>
    <w:lvl w:ilvl="4">
      <w:numFmt w:val="bullet"/>
      <w:lvlText w:val="•"/>
      <w:lvlJc w:val="left"/>
      <w:pPr>
        <w:ind w:left="4210" w:hanging="720"/>
      </w:pPr>
      <w:rPr>
        <w:rFonts w:hint="default"/>
        <w:lang w:val="en-GB" w:eastAsia="en-GB" w:bidi="en-GB"/>
      </w:rPr>
    </w:lvl>
    <w:lvl w:ilvl="5">
      <w:numFmt w:val="bullet"/>
      <w:lvlText w:val="•"/>
      <w:lvlJc w:val="left"/>
      <w:pPr>
        <w:ind w:left="5053" w:hanging="720"/>
      </w:pPr>
      <w:rPr>
        <w:rFonts w:hint="default"/>
        <w:lang w:val="en-GB" w:eastAsia="en-GB" w:bidi="en-GB"/>
      </w:rPr>
    </w:lvl>
    <w:lvl w:ilvl="6">
      <w:numFmt w:val="bullet"/>
      <w:lvlText w:val="•"/>
      <w:lvlJc w:val="left"/>
      <w:pPr>
        <w:ind w:left="5895" w:hanging="720"/>
      </w:pPr>
      <w:rPr>
        <w:rFonts w:hint="default"/>
        <w:lang w:val="en-GB" w:eastAsia="en-GB" w:bidi="en-GB"/>
      </w:rPr>
    </w:lvl>
    <w:lvl w:ilvl="7">
      <w:numFmt w:val="bullet"/>
      <w:lvlText w:val="•"/>
      <w:lvlJc w:val="left"/>
      <w:pPr>
        <w:ind w:left="6738" w:hanging="720"/>
      </w:pPr>
      <w:rPr>
        <w:rFonts w:hint="default"/>
        <w:lang w:val="en-GB" w:eastAsia="en-GB" w:bidi="en-GB"/>
      </w:rPr>
    </w:lvl>
    <w:lvl w:ilvl="8">
      <w:numFmt w:val="bullet"/>
      <w:lvlText w:val="•"/>
      <w:lvlJc w:val="left"/>
      <w:pPr>
        <w:ind w:left="7581" w:hanging="720"/>
      </w:pPr>
      <w:rPr>
        <w:rFonts w:hint="default"/>
        <w:lang w:val="en-GB" w:eastAsia="en-GB" w:bidi="en-GB"/>
      </w:rPr>
    </w:lvl>
  </w:abstractNum>
  <w:abstractNum w:abstractNumId="6" w15:restartNumberingAfterBreak="0">
    <w:nsid w:val="63F74FCC"/>
    <w:multiLevelType w:val="multilevel"/>
    <w:tmpl w:val="F768D4D6"/>
    <w:lvl w:ilvl="0">
      <w:start w:val="4"/>
      <w:numFmt w:val="decimal"/>
      <w:lvlText w:val="%1"/>
      <w:lvlJc w:val="left"/>
      <w:pPr>
        <w:ind w:left="840" w:hanging="658"/>
        <w:jc w:val="left"/>
      </w:pPr>
      <w:rPr>
        <w:rFonts w:hint="default"/>
        <w:lang w:val="en-GB" w:eastAsia="en-GB" w:bidi="en-GB"/>
      </w:rPr>
    </w:lvl>
    <w:lvl w:ilvl="1">
      <w:numFmt w:val="decimal"/>
      <w:lvlText w:val="%1.%2"/>
      <w:lvlJc w:val="left"/>
      <w:pPr>
        <w:ind w:left="840" w:hanging="658"/>
        <w:jc w:val="right"/>
      </w:pPr>
      <w:rPr>
        <w:rFonts w:hint="default"/>
        <w:b/>
        <w:bCs/>
        <w:w w:val="100"/>
        <w:lang w:val="en-GB" w:eastAsia="en-GB" w:bidi="en-GB"/>
      </w:rPr>
    </w:lvl>
    <w:lvl w:ilvl="2">
      <w:numFmt w:val="bullet"/>
      <w:lvlText w:val="•"/>
      <w:lvlJc w:val="left"/>
      <w:pPr>
        <w:ind w:left="2525" w:hanging="658"/>
      </w:pPr>
      <w:rPr>
        <w:rFonts w:hint="default"/>
        <w:lang w:val="en-GB" w:eastAsia="en-GB" w:bidi="en-GB"/>
      </w:rPr>
    </w:lvl>
    <w:lvl w:ilvl="3">
      <w:numFmt w:val="bullet"/>
      <w:lvlText w:val="•"/>
      <w:lvlJc w:val="left"/>
      <w:pPr>
        <w:ind w:left="3367" w:hanging="658"/>
      </w:pPr>
      <w:rPr>
        <w:rFonts w:hint="default"/>
        <w:lang w:val="en-GB" w:eastAsia="en-GB" w:bidi="en-GB"/>
      </w:rPr>
    </w:lvl>
    <w:lvl w:ilvl="4">
      <w:numFmt w:val="bullet"/>
      <w:lvlText w:val="•"/>
      <w:lvlJc w:val="left"/>
      <w:pPr>
        <w:ind w:left="4210" w:hanging="658"/>
      </w:pPr>
      <w:rPr>
        <w:rFonts w:hint="default"/>
        <w:lang w:val="en-GB" w:eastAsia="en-GB" w:bidi="en-GB"/>
      </w:rPr>
    </w:lvl>
    <w:lvl w:ilvl="5">
      <w:numFmt w:val="bullet"/>
      <w:lvlText w:val="•"/>
      <w:lvlJc w:val="left"/>
      <w:pPr>
        <w:ind w:left="5053" w:hanging="658"/>
      </w:pPr>
      <w:rPr>
        <w:rFonts w:hint="default"/>
        <w:lang w:val="en-GB" w:eastAsia="en-GB" w:bidi="en-GB"/>
      </w:rPr>
    </w:lvl>
    <w:lvl w:ilvl="6">
      <w:numFmt w:val="bullet"/>
      <w:lvlText w:val="•"/>
      <w:lvlJc w:val="left"/>
      <w:pPr>
        <w:ind w:left="5895" w:hanging="658"/>
      </w:pPr>
      <w:rPr>
        <w:rFonts w:hint="default"/>
        <w:lang w:val="en-GB" w:eastAsia="en-GB" w:bidi="en-GB"/>
      </w:rPr>
    </w:lvl>
    <w:lvl w:ilvl="7">
      <w:numFmt w:val="bullet"/>
      <w:lvlText w:val="•"/>
      <w:lvlJc w:val="left"/>
      <w:pPr>
        <w:ind w:left="6738" w:hanging="658"/>
      </w:pPr>
      <w:rPr>
        <w:rFonts w:hint="default"/>
        <w:lang w:val="en-GB" w:eastAsia="en-GB" w:bidi="en-GB"/>
      </w:rPr>
    </w:lvl>
    <w:lvl w:ilvl="8">
      <w:numFmt w:val="bullet"/>
      <w:lvlText w:val="•"/>
      <w:lvlJc w:val="left"/>
      <w:pPr>
        <w:ind w:left="7581" w:hanging="658"/>
      </w:pPr>
      <w:rPr>
        <w:rFonts w:hint="default"/>
        <w:lang w:val="en-GB" w:eastAsia="en-GB" w:bidi="en-GB"/>
      </w:rPr>
    </w:lvl>
  </w:abstractNum>
  <w:abstractNum w:abstractNumId="7" w15:restartNumberingAfterBreak="0">
    <w:nsid w:val="6E76713C"/>
    <w:multiLevelType w:val="multilevel"/>
    <w:tmpl w:val="BDE814CA"/>
    <w:lvl w:ilvl="0">
      <w:start w:val="6"/>
      <w:numFmt w:val="decimal"/>
      <w:lvlText w:val="%1"/>
      <w:lvlJc w:val="left"/>
      <w:pPr>
        <w:ind w:left="840" w:hanging="720"/>
        <w:jc w:val="left"/>
      </w:pPr>
      <w:rPr>
        <w:rFonts w:hint="default"/>
        <w:lang w:val="en-GB" w:eastAsia="en-GB" w:bidi="en-GB"/>
      </w:rPr>
    </w:lvl>
    <w:lvl w:ilvl="1">
      <w:numFmt w:val="decimal"/>
      <w:lvlText w:val="%1.%2"/>
      <w:lvlJc w:val="left"/>
      <w:pPr>
        <w:ind w:left="840" w:hanging="720"/>
        <w:jc w:val="right"/>
      </w:pPr>
      <w:rPr>
        <w:rFonts w:hint="default"/>
        <w:b/>
        <w:bCs/>
        <w:w w:val="100"/>
        <w:lang w:val="en-GB" w:eastAsia="en-GB" w:bidi="en-GB"/>
      </w:rPr>
    </w:lvl>
    <w:lvl w:ilvl="2">
      <w:numFmt w:val="bullet"/>
      <w:lvlText w:val="•"/>
      <w:lvlJc w:val="left"/>
      <w:pPr>
        <w:ind w:left="2525" w:hanging="720"/>
      </w:pPr>
      <w:rPr>
        <w:rFonts w:hint="default"/>
        <w:lang w:val="en-GB" w:eastAsia="en-GB" w:bidi="en-GB"/>
      </w:rPr>
    </w:lvl>
    <w:lvl w:ilvl="3">
      <w:numFmt w:val="bullet"/>
      <w:lvlText w:val="•"/>
      <w:lvlJc w:val="left"/>
      <w:pPr>
        <w:ind w:left="3367" w:hanging="720"/>
      </w:pPr>
      <w:rPr>
        <w:rFonts w:hint="default"/>
        <w:lang w:val="en-GB" w:eastAsia="en-GB" w:bidi="en-GB"/>
      </w:rPr>
    </w:lvl>
    <w:lvl w:ilvl="4">
      <w:numFmt w:val="bullet"/>
      <w:lvlText w:val="•"/>
      <w:lvlJc w:val="left"/>
      <w:pPr>
        <w:ind w:left="4210" w:hanging="720"/>
      </w:pPr>
      <w:rPr>
        <w:rFonts w:hint="default"/>
        <w:lang w:val="en-GB" w:eastAsia="en-GB" w:bidi="en-GB"/>
      </w:rPr>
    </w:lvl>
    <w:lvl w:ilvl="5">
      <w:numFmt w:val="bullet"/>
      <w:lvlText w:val="•"/>
      <w:lvlJc w:val="left"/>
      <w:pPr>
        <w:ind w:left="5053" w:hanging="720"/>
      </w:pPr>
      <w:rPr>
        <w:rFonts w:hint="default"/>
        <w:lang w:val="en-GB" w:eastAsia="en-GB" w:bidi="en-GB"/>
      </w:rPr>
    </w:lvl>
    <w:lvl w:ilvl="6">
      <w:numFmt w:val="bullet"/>
      <w:lvlText w:val="•"/>
      <w:lvlJc w:val="left"/>
      <w:pPr>
        <w:ind w:left="5895" w:hanging="720"/>
      </w:pPr>
      <w:rPr>
        <w:rFonts w:hint="default"/>
        <w:lang w:val="en-GB" w:eastAsia="en-GB" w:bidi="en-GB"/>
      </w:rPr>
    </w:lvl>
    <w:lvl w:ilvl="7">
      <w:numFmt w:val="bullet"/>
      <w:lvlText w:val="•"/>
      <w:lvlJc w:val="left"/>
      <w:pPr>
        <w:ind w:left="6738" w:hanging="720"/>
      </w:pPr>
      <w:rPr>
        <w:rFonts w:hint="default"/>
        <w:lang w:val="en-GB" w:eastAsia="en-GB" w:bidi="en-GB"/>
      </w:rPr>
    </w:lvl>
    <w:lvl w:ilvl="8">
      <w:numFmt w:val="bullet"/>
      <w:lvlText w:val="•"/>
      <w:lvlJc w:val="left"/>
      <w:pPr>
        <w:ind w:left="7581" w:hanging="720"/>
      </w:pPr>
      <w:rPr>
        <w:rFonts w:hint="default"/>
        <w:lang w:val="en-GB" w:eastAsia="en-GB" w:bidi="en-GB"/>
      </w:rPr>
    </w:lvl>
  </w:abstractNum>
  <w:abstractNum w:abstractNumId="8" w15:restartNumberingAfterBreak="0">
    <w:nsid w:val="78E81E1D"/>
    <w:multiLevelType w:val="multilevel"/>
    <w:tmpl w:val="D58E2DEC"/>
    <w:lvl w:ilvl="0">
      <w:start w:val="2"/>
      <w:numFmt w:val="decimal"/>
      <w:lvlText w:val="%1"/>
      <w:lvlJc w:val="left"/>
      <w:pPr>
        <w:ind w:left="1560" w:hanging="720"/>
        <w:jc w:val="left"/>
      </w:pPr>
      <w:rPr>
        <w:rFonts w:hint="default"/>
        <w:lang w:val="en-GB" w:eastAsia="en-GB" w:bidi="en-GB"/>
      </w:rPr>
    </w:lvl>
    <w:lvl w:ilvl="1">
      <w:start w:val="1"/>
      <w:numFmt w:val="decimal"/>
      <w:lvlText w:val="%1.%2"/>
      <w:lvlJc w:val="left"/>
      <w:pPr>
        <w:ind w:left="1560" w:hanging="720"/>
        <w:jc w:val="left"/>
      </w:pPr>
      <w:rPr>
        <w:rFonts w:ascii="Arial" w:eastAsia="Arial" w:hAnsi="Arial" w:cs="Arial" w:hint="default"/>
        <w:w w:val="100"/>
        <w:sz w:val="22"/>
        <w:szCs w:val="22"/>
        <w:lang w:val="en-GB" w:eastAsia="en-GB" w:bidi="en-GB"/>
      </w:rPr>
    </w:lvl>
    <w:lvl w:ilvl="2">
      <w:numFmt w:val="bullet"/>
      <w:lvlText w:val=""/>
      <w:lvlJc w:val="left"/>
      <w:pPr>
        <w:ind w:left="1920" w:hanging="360"/>
      </w:pPr>
      <w:rPr>
        <w:rFonts w:ascii="Symbol" w:eastAsia="Symbol" w:hAnsi="Symbol" w:cs="Symbol" w:hint="default"/>
        <w:w w:val="100"/>
        <w:sz w:val="22"/>
        <w:szCs w:val="22"/>
        <w:lang w:val="en-GB" w:eastAsia="en-GB" w:bidi="en-GB"/>
      </w:rPr>
    </w:lvl>
    <w:lvl w:ilvl="3">
      <w:numFmt w:val="bullet"/>
      <w:lvlText w:val="•"/>
      <w:lvlJc w:val="left"/>
      <w:pPr>
        <w:ind w:left="3552" w:hanging="360"/>
      </w:pPr>
      <w:rPr>
        <w:rFonts w:hint="default"/>
        <w:lang w:val="en-GB" w:eastAsia="en-GB" w:bidi="en-GB"/>
      </w:rPr>
    </w:lvl>
    <w:lvl w:ilvl="4">
      <w:numFmt w:val="bullet"/>
      <w:lvlText w:val="•"/>
      <w:lvlJc w:val="left"/>
      <w:pPr>
        <w:ind w:left="4368" w:hanging="360"/>
      </w:pPr>
      <w:rPr>
        <w:rFonts w:hint="default"/>
        <w:lang w:val="en-GB" w:eastAsia="en-GB" w:bidi="en-GB"/>
      </w:rPr>
    </w:lvl>
    <w:lvl w:ilvl="5">
      <w:numFmt w:val="bullet"/>
      <w:lvlText w:val="•"/>
      <w:lvlJc w:val="left"/>
      <w:pPr>
        <w:ind w:left="5185" w:hanging="360"/>
      </w:pPr>
      <w:rPr>
        <w:rFonts w:hint="default"/>
        <w:lang w:val="en-GB" w:eastAsia="en-GB" w:bidi="en-GB"/>
      </w:rPr>
    </w:lvl>
    <w:lvl w:ilvl="6">
      <w:numFmt w:val="bullet"/>
      <w:lvlText w:val="•"/>
      <w:lvlJc w:val="left"/>
      <w:pPr>
        <w:ind w:left="6001" w:hanging="360"/>
      </w:pPr>
      <w:rPr>
        <w:rFonts w:hint="default"/>
        <w:lang w:val="en-GB" w:eastAsia="en-GB" w:bidi="en-GB"/>
      </w:rPr>
    </w:lvl>
    <w:lvl w:ilvl="7">
      <w:numFmt w:val="bullet"/>
      <w:lvlText w:val="•"/>
      <w:lvlJc w:val="left"/>
      <w:pPr>
        <w:ind w:left="6817" w:hanging="360"/>
      </w:pPr>
      <w:rPr>
        <w:rFonts w:hint="default"/>
        <w:lang w:val="en-GB" w:eastAsia="en-GB" w:bidi="en-GB"/>
      </w:rPr>
    </w:lvl>
    <w:lvl w:ilvl="8">
      <w:numFmt w:val="bullet"/>
      <w:lvlText w:val="•"/>
      <w:lvlJc w:val="left"/>
      <w:pPr>
        <w:ind w:left="7633" w:hanging="360"/>
      </w:pPr>
      <w:rPr>
        <w:rFonts w:hint="default"/>
        <w:lang w:val="en-GB" w:eastAsia="en-GB" w:bidi="en-GB"/>
      </w:rPr>
    </w:lvl>
  </w:abstractNum>
  <w:num w:numId="1" w16cid:durableId="1321009235">
    <w:abstractNumId w:val="4"/>
  </w:num>
  <w:num w:numId="2" w16cid:durableId="1762214700">
    <w:abstractNumId w:val="0"/>
  </w:num>
  <w:num w:numId="3" w16cid:durableId="1310743857">
    <w:abstractNumId w:val="7"/>
  </w:num>
  <w:num w:numId="4" w16cid:durableId="298536006">
    <w:abstractNumId w:val="2"/>
  </w:num>
  <w:num w:numId="5" w16cid:durableId="1292400476">
    <w:abstractNumId w:val="6"/>
  </w:num>
  <w:num w:numId="6" w16cid:durableId="1913813262">
    <w:abstractNumId w:val="8"/>
  </w:num>
  <w:num w:numId="7" w16cid:durableId="249315966">
    <w:abstractNumId w:val="1"/>
  </w:num>
  <w:num w:numId="8" w16cid:durableId="1576546954">
    <w:abstractNumId w:val="5"/>
  </w:num>
  <w:num w:numId="9" w16cid:durableId="120482466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3ABB"/>
    <w:rsid w:val="00006BAB"/>
    <w:rsid w:val="00022699"/>
    <w:rsid w:val="0004184B"/>
    <w:rsid w:val="00046C0C"/>
    <w:rsid w:val="0008090C"/>
    <w:rsid w:val="000D6CAB"/>
    <w:rsid w:val="000E1FFE"/>
    <w:rsid w:val="000E5733"/>
    <w:rsid w:val="001166A2"/>
    <w:rsid w:val="0014279D"/>
    <w:rsid w:val="0017742F"/>
    <w:rsid w:val="001B31B1"/>
    <w:rsid w:val="001D339F"/>
    <w:rsid w:val="001E4141"/>
    <w:rsid w:val="002511BE"/>
    <w:rsid w:val="002727BB"/>
    <w:rsid w:val="00273910"/>
    <w:rsid w:val="002A28B8"/>
    <w:rsid w:val="003C3C8B"/>
    <w:rsid w:val="003C741C"/>
    <w:rsid w:val="00446557"/>
    <w:rsid w:val="004801EE"/>
    <w:rsid w:val="004A1FE2"/>
    <w:rsid w:val="004B4803"/>
    <w:rsid w:val="004C11C1"/>
    <w:rsid w:val="005A07D4"/>
    <w:rsid w:val="005B540A"/>
    <w:rsid w:val="005B5FF6"/>
    <w:rsid w:val="005D3E45"/>
    <w:rsid w:val="005E3A83"/>
    <w:rsid w:val="0061165B"/>
    <w:rsid w:val="0062708E"/>
    <w:rsid w:val="00640027"/>
    <w:rsid w:val="00660504"/>
    <w:rsid w:val="00677778"/>
    <w:rsid w:val="006D2656"/>
    <w:rsid w:val="00755D8F"/>
    <w:rsid w:val="00774D2B"/>
    <w:rsid w:val="00795B7C"/>
    <w:rsid w:val="007C11D6"/>
    <w:rsid w:val="007C2AE8"/>
    <w:rsid w:val="008026E4"/>
    <w:rsid w:val="00807D19"/>
    <w:rsid w:val="00824D98"/>
    <w:rsid w:val="008834AE"/>
    <w:rsid w:val="008913F6"/>
    <w:rsid w:val="008A4C65"/>
    <w:rsid w:val="008A7CC7"/>
    <w:rsid w:val="008F1DD9"/>
    <w:rsid w:val="0091676E"/>
    <w:rsid w:val="00953EDB"/>
    <w:rsid w:val="009A1E3C"/>
    <w:rsid w:val="009D3650"/>
    <w:rsid w:val="00A346DB"/>
    <w:rsid w:val="00A6373C"/>
    <w:rsid w:val="00A65EFD"/>
    <w:rsid w:val="00AB3ABB"/>
    <w:rsid w:val="00AB3E70"/>
    <w:rsid w:val="00B70369"/>
    <w:rsid w:val="00B849C1"/>
    <w:rsid w:val="00B9403C"/>
    <w:rsid w:val="00BE4EA6"/>
    <w:rsid w:val="00C026F8"/>
    <w:rsid w:val="00C36AD1"/>
    <w:rsid w:val="00C63914"/>
    <w:rsid w:val="00C71FB1"/>
    <w:rsid w:val="00C81147"/>
    <w:rsid w:val="00D5707C"/>
    <w:rsid w:val="00DB429A"/>
    <w:rsid w:val="00DC077C"/>
    <w:rsid w:val="00DD1705"/>
    <w:rsid w:val="00DD489F"/>
    <w:rsid w:val="00DE49B7"/>
    <w:rsid w:val="00E0764B"/>
    <w:rsid w:val="00E12C70"/>
    <w:rsid w:val="00E24CD8"/>
    <w:rsid w:val="00EC0F82"/>
    <w:rsid w:val="00ED2628"/>
    <w:rsid w:val="00F11346"/>
    <w:rsid w:val="00F66092"/>
    <w:rsid w:val="00FB5B7A"/>
    <w:rsid w:val="00FD21C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3E421C"/>
  <w15:docId w15:val="{4E700C98-ACC2-43AA-9778-BD2EDF973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n-GB" w:eastAsia="en-GB" w:bidi="en-GB"/>
    </w:rPr>
  </w:style>
  <w:style w:type="paragraph" w:styleId="Heading1">
    <w:name w:val="heading 1"/>
    <w:basedOn w:val="Normal"/>
    <w:uiPriority w:val="9"/>
    <w:qFormat/>
    <w:pPr>
      <w:ind w:left="840"/>
      <w:outlineLvl w:val="0"/>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120"/>
      <w:jc w:val="both"/>
    </w:pPr>
  </w:style>
  <w:style w:type="paragraph" w:styleId="ListParagraph">
    <w:name w:val="List Paragraph"/>
    <w:basedOn w:val="Normal"/>
    <w:uiPriority w:val="1"/>
    <w:qFormat/>
    <w:pPr>
      <w:ind w:left="1560" w:hanging="720"/>
    </w:pPr>
  </w:style>
  <w:style w:type="paragraph" w:customStyle="1" w:styleId="TableParagraph">
    <w:name w:val="Table Paragraph"/>
    <w:basedOn w:val="Normal"/>
    <w:uiPriority w:val="1"/>
    <w:qFormat/>
    <w:pPr>
      <w:ind w:left="107"/>
    </w:pPr>
  </w:style>
  <w:style w:type="paragraph" w:customStyle="1" w:styleId="Default">
    <w:name w:val="Default"/>
    <w:rsid w:val="00DE49B7"/>
    <w:pPr>
      <w:widowControl/>
      <w:adjustRightInd w:val="0"/>
    </w:pPr>
    <w:rPr>
      <w:rFonts w:ascii="Arial" w:hAnsi="Arial" w:cs="Arial"/>
      <w:color w:val="000000"/>
      <w:sz w:val="24"/>
      <w:szCs w:val="24"/>
      <w:lang w:val="en-GB"/>
    </w:rPr>
  </w:style>
  <w:style w:type="character" w:customStyle="1" w:styleId="BodyTextChar">
    <w:name w:val="Body Text Char"/>
    <w:basedOn w:val="DefaultParagraphFont"/>
    <w:link w:val="BodyText"/>
    <w:uiPriority w:val="1"/>
    <w:rsid w:val="008A4C65"/>
    <w:rPr>
      <w:rFonts w:ascii="Arial" w:eastAsia="Arial" w:hAnsi="Arial" w:cs="Arial"/>
      <w:lang w:val="en-GB" w:eastAsia="en-GB" w:bidi="en-GB"/>
    </w:rPr>
  </w:style>
  <w:style w:type="paragraph" w:styleId="Header">
    <w:name w:val="header"/>
    <w:basedOn w:val="Normal"/>
    <w:link w:val="HeaderChar"/>
    <w:uiPriority w:val="99"/>
    <w:unhideWhenUsed/>
    <w:rsid w:val="004A1FE2"/>
    <w:pPr>
      <w:tabs>
        <w:tab w:val="center" w:pos="4513"/>
        <w:tab w:val="right" w:pos="9026"/>
      </w:tabs>
    </w:pPr>
  </w:style>
  <w:style w:type="character" w:customStyle="1" w:styleId="HeaderChar">
    <w:name w:val="Header Char"/>
    <w:basedOn w:val="DefaultParagraphFont"/>
    <w:link w:val="Header"/>
    <w:uiPriority w:val="99"/>
    <w:rsid w:val="004A1FE2"/>
    <w:rPr>
      <w:rFonts w:ascii="Arial" w:eastAsia="Arial" w:hAnsi="Arial" w:cs="Arial"/>
      <w:lang w:val="en-GB" w:eastAsia="en-GB" w:bidi="en-GB"/>
    </w:rPr>
  </w:style>
  <w:style w:type="paragraph" w:styleId="Footer">
    <w:name w:val="footer"/>
    <w:basedOn w:val="Normal"/>
    <w:link w:val="FooterChar"/>
    <w:uiPriority w:val="99"/>
    <w:unhideWhenUsed/>
    <w:rsid w:val="004A1FE2"/>
    <w:pPr>
      <w:tabs>
        <w:tab w:val="center" w:pos="4513"/>
        <w:tab w:val="right" w:pos="9026"/>
      </w:tabs>
    </w:pPr>
  </w:style>
  <w:style w:type="character" w:customStyle="1" w:styleId="FooterChar">
    <w:name w:val="Footer Char"/>
    <w:basedOn w:val="DefaultParagraphFont"/>
    <w:link w:val="Footer"/>
    <w:uiPriority w:val="99"/>
    <w:rsid w:val="004A1FE2"/>
    <w:rPr>
      <w:rFonts w:ascii="Arial" w:eastAsia="Arial" w:hAnsi="Arial" w:cs="Arial"/>
      <w:lang w:val="en-GB" w:eastAsia="en-GB" w:bidi="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3400691">
      <w:bodyDiv w:val="1"/>
      <w:marLeft w:val="0"/>
      <w:marRight w:val="0"/>
      <w:marTop w:val="0"/>
      <w:marBottom w:val="0"/>
      <w:divBdr>
        <w:top w:val="none" w:sz="0" w:space="0" w:color="auto"/>
        <w:left w:val="none" w:sz="0" w:space="0" w:color="auto"/>
        <w:bottom w:val="none" w:sz="0" w:space="0" w:color="auto"/>
        <w:right w:val="none" w:sz="0" w:space="0" w:color="auto"/>
      </w:divBdr>
    </w:div>
    <w:div w:id="372852524">
      <w:bodyDiv w:val="1"/>
      <w:marLeft w:val="0"/>
      <w:marRight w:val="0"/>
      <w:marTop w:val="0"/>
      <w:marBottom w:val="0"/>
      <w:divBdr>
        <w:top w:val="none" w:sz="0" w:space="0" w:color="auto"/>
        <w:left w:val="none" w:sz="0" w:space="0" w:color="auto"/>
        <w:bottom w:val="none" w:sz="0" w:space="0" w:color="auto"/>
        <w:right w:val="none" w:sz="0" w:space="0" w:color="auto"/>
      </w:divBdr>
    </w:div>
    <w:div w:id="433938229">
      <w:bodyDiv w:val="1"/>
      <w:marLeft w:val="0"/>
      <w:marRight w:val="0"/>
      <w:marTop w:val="0"/>
      <w:marBottom w:val="0"/>
      <w:divBdr>
        <w:top w:val="none" w:sz="0" w:space="0" w:color="auto"/>
        <w:left w:val="none" w:sz="0" w:space="0" w:color="auto"/>
        <w:bottom w:val="none" w:sz="0" w:space="0" w:color="auto"/>
        <w:right w:val="none" w:sz="0" w:space="0" w:color="auto"/>
      </w:divBdr>
    </w:div>
    <w:div w:id="14431092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6.emf"/><Relationship Id="rId18" Type="http://schemas.openxmlformats.org/officeDocument/2006/relationships/chart" Target="charts/chart4.xml"/><Relationship Id="rId3" Type="http://schemas.openxmlformats.org/officeDocument/2006/relationships/settings" Target="settings.xml"/><Relationship Id="rId21" Type="http://schemas.openxmlformats.org/officeDocument/2006/relationships/image" Target="media/image10.emf"/><Relationship Id="rId7"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chart" Target="charts/chart3.xml"/><Relationship Id="rId2" Type="http://schemas.openxmlformats.org/officeDocument/2006/relationships/styles" Target="styles.xml"/><Relationship Id="rId16" Type="http://schemas.openxmlformats.org/officeDocument/2006/relationships/chart" Target="charts/chart2.xml"/><Relationship Id="rId20" Type="http://schemas.openxmlformats.org/officeDocument/2006/relationships/image" Target="media/image9.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chart" Target="charts/chart1.xml"/><Relationship Id="rId22" Type="http://schemas.openxmlformats.org/officeDocument/2006/relationships/image" Target="media/image11.em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Average</a:t>
            </a:r>
            <a:r>
              <a:rPr lang="en-US" sz="1100" baseline="0"/>
              <a:t> number of interventions broken down by marital status</a:t>
            </a:r>
            <a:endParaRPr lang="en-US" sz="11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8951936372465132E-2"/>
          <c:y val="0.16635979099278428"/>
          <c:w val="0.87583027362294985"/>
          <c:h val="0.46792930430847179"/>
        </c:manualLayout>
      </c:layout>
      <c:barChart>
        <c:barDir val="col"/>
        <c:grouping val="clustered"/>
        <c:varyColors val="0"/>
        <c:ser>
          <c:idx val="0"/>
          <c:order val="0"/>
          <c:tx>
            <c:strRef>
              <c:f>Sheet4!$B$17</c:f>
              <c:strCache>
                <c:ptCount val="1"/>
              </c:strCache>
            </c:strRef>
          </c:tx>
          <c:spPr>
            <a:solidFill>
              <a:schemeClr val="accent1">
                <a:shade val="65000"/>
              </a:schemeClr>
            </a:solidFill>
            <a:ln>
              <a:noFill/>
            </a:ln>
            <a:effectLst/>
          </c:spPr>
          <c:invertIfNegative val="0"/>
          <c:cat>
            <c:strRef>
              <c:f>Sheet4!$A$18:$A$26</c:f>
              <c:strCache>
                <c:ptCount val="9"/>
                <c:pt idx="0">
                  <c:v>DIVORCED/CIVIL P'SHIP DISSOLV</c:v>
                </c:pt>
                <c:pt idx="1">
                  <c:v>IN A RELATIONSHIP</c:v>
                </c:pt>
                <c:pt idx="2">
                  <c:v>LIVING WITH A PARTNER</c:v>
                </c:pt>
                <c:pt idx="3">
                  <c:v>MARRIED/CIVIL PARTNER</c:v>
                </c:pt>
                <c:pt idx="4">
                  <c:v>NOT DISCLOSED</c:v>
                </c:pt>
                <c:pt idx="5">
                  <c:v>NOT KNOWN</c:v>
                </c:pt>
                <c:pt idx="6">
                  <c:v>SEPARATED</c:v>
                </c:pt>
                <c:pt idx="7">
                  <c:v>SINGLE</c:v>
                </c:pt>
                <c:pt idx="8">
                  <c:v>SURVIVING PARTNER/WIDOWED</c:v>
                </c:pt>
              </c:strCache>
            </c:strRef>
          </c:cat>
          <c:val>
            <c:numRef>
              <c:f>Sheet4!$B$18:$B$26</c:f>
            </c:numRef>
          </c:val>
          <c:extLst>
            <c:ext xmlns:c16="http://schemas.microsoft.com/office/drawing/2014/chart" uri="{C3380CC4-5D6E-409C-BE32-E72D297353CC}">
              <c16:uniqueId val="{00000000-DA5C-459E-935D-EF52A8A28BA4}"/>
            </c:ext>
          </c:extLst>
        </c:ser>
        <c:ser>
          <c:idx val="1"/>
          <c:order val="1"/>
          <c:tx>
            <c:strRef>
              <c:f>Sheet4!$C$17</c:f>
              <c:strCache>
                <c:ptCount val="1"/>
              </c:strCache>
            </c:strRef>
          </c:tx>
          <c:spPr>
            <a:solidFill>
              <a:schemeClr val="accent1"/>
            </a:solidFill>
            <a:ln>
              <a:noFill/>
            </a:ln>
            <a:effectLst/>
          </c:spPr>
          <c:invertIfNegative val="0"/>
          <c:cat>
            <c:strRef>
              <c:f>Sheet4!$A$18:$A$26</c:f>
              <c:strCache>
                <c:ptCount val="9"/>
                <c:pt idx="0">
                  <c:v>DIVORCED/CIVIL P'SHIP DISSOLV</c:v>
                </c:pt>
                <c:pt idx="1">
                  <c:v>IN A RELATIONSHIP</c:v>
                </c:pt>
                <c:pt idx="2">
                  <c:v>LIVING WITH A PARTNER</c:v>
                </c:pt>
                <c:pt idx="3">
                  <c:v>MARRIED/CIVIL PARTNER</c:v>
                </c:pt>
                <c:pt idx="4">
                  <c:v>NOT DISCLOSED</c:v>
                </c:pt>
                <c:pt idx="5">
                  <c:v>NOT KNOWN</c:v>
                </c:pt>
                <c:pt idx="6">
                  <c:v>SEPARATED</c:v>
                </c:pt>
                <c:pt idx="7">
                  <c:v>SINGLE</c:v>
                </c:pt>
                <c:pt idx="8">
                  <c:v>SURVIVING PARTNER/WIDOWED</c:v>
                </c:pt>
              </c:strCache>
            </c:strRef>
          </c:cat>
          <c:val>
            <c:numRef>
              <c:f>Sheet4!$C$18:$C$26</c:f>
            </c:numRef>
          </c:val>
          <c:extLst>
            <c:ext xmlns:c16="http://schemas.microsoft.com/office/drawing/2014/chart" uri="{C3380CC4-5D6E-409C-BE32-E72D297353CC}">
              <c16:uniqueId val="{00000001-DA5C-459E-935D-EF52A8A28BA4}"/>
            </c:ext>
          </c:extLst>
        </c:ser>
        <c:ser>
          <c:idx val="2"/>
          <c:order val="2"/>
          <c:tx>
            <c:strRef>
              <c:f>Sheet4!$D$17</c:f>
              <c:strCache>
                <c:ptCount val="1"/>
                <c:pt idx="0">
                  <c:v>Average of Count of Events</c:v>
                </c:pt>
              </c:strCache>
            </c:strRef>
          </c:tx>
          <c:spPr>
            <a:solidFill>
              <a:schemeClr val="accent1">
                <a:lumMod val="60000"/>
                <a:lumOff val="40000"/>
              </a:schemeClr>
            </a:solidFill>
            <a:ln>
              <a:noFill/>
            </a:ln>
            <a:effectLst/>
          </c:spPr>
          <c:invertIfNegative val="0"/>
          <c:cat>
            <c:strRef>
              <c:f>Sheet4!$A$18:$A$26</c:f>
              <c:strCache>
                <c:ptCount val="9"/>
                <c:pt idx="0">
                  <c:v>DIVORCED/CIVIL P'SHIP DISSOLV</c:v>
                </c:pt>
                <c:pt idx="1">
                  <c:v>IN A RELATIONSHIP</c:v>
                </c:pt>
                <c:pt idx="2">
                  <c:v>LIVING WITH A PARTNER</c:v>
                </c:pt>
                <c:pt idx="3">
                  <c:v>MARRIED/CIVIL PARTNER</c:v>
                </c:pt>
                <c:pt idx="4">
                  <c:v>NOT DISCLOSED</c:v>
                </c:pt>
                <c:pt idx="5">
                  <c:v>NOT KNOWN</c:v>
                </c:pt>
                <c:pt idx="6">
                  <c:v>SEPARATED</c:v>
                </c:pt>
                <c:pt idx="7">
                  <c:v>SINGLE</c:v>
                </c:pt>
                <c:pt idx="8">
                  <c:v>SURVIVING PARTNER/WIDOWED</c:v>
                </c:pt>
              </c:strCache>
            </c:strRef>
          </c:cat>
          <c:val>
            <c:numRef>
              <c:f>Sheet4!$D$18:$D$26</c:f>
              <c:numCache>
                <c:formatCode>General</c:formatCode>
                <c:ptCount val="9"/>
                <c:pt idx="0">
                  <c:v>34.45952496364518</c:v>
                </c:pt>
                <c:pt idx="1">
                  <c:v>12.536893599673869</c:v>
                </c:pt>
                <c:pt idx="2">
                  <c:v>14.301665034280118</c:v>
                </c:pt>
                <c:pt idx="3">
                  <c:v>23.904413914060218</c:v>
                </c:pt>
                <c:pt idx="4">
                  <c:v>9.9276142932212288</c:v>
                </c:pt>
                <c:pt idx="5">
                  <c:v>6.0609965635738829</c:v>
                </c:pt>
                <c:pt idx="6">
                  <c:v>19.654387139986603</c:v>
                </c:pt>
                <c:pt idx="7">
                  <c:v>20.539558753238911</c:v>
                </c:pt>
                <c:pt idx="8">
                  <c:v>23.391099599717446</c:v>
                </c:pt>
              </c:numCache>
            </c:numRef>
          </c:val>
          <c:extLst>
            <c:ext xmlns:c16="http://schemas.microsoft.com/office/drawing/2014/chart" uri="{C3380CC4-5D6E-409C-BE32-E72D297353CC}">
              <c16:uniqueId val="{00000002-DA5C-459E-935D-EF52A8A28BA4}"/>
            </c:ext>
          </c:extLst>
        </c:ser>
        <c:dLbls>
          <c:showLegendKey val="0"/>
          <c:showVal val="0"/>
          <c:showCatName val="0"/>
          <c:showSerName val="0"/>
          <c:showPercent val="0"/>
          <c:showBubbleSize val="0"/>
        </c:dLbls>
        <c:gapWidth val="70"/>
        <c:overlap val="-27"/>
        <c:axId val="996666304"/>
        <c:axId val="996666720"/>
      </c:barChart>
      <c:catAx>
        <c:axId val="9966663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Marital Status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996666720"/>
        <c:crosses val="autoZero"/>
        <c:auto val="1"/>
        <c:lblAlgn val="ctr"/>
        <c:lblOffset val="100"/>
        <c:noMultiLvlLbl val="0"/>
      </c:catAx>
      <c:valAx>
        <c:axId val="996666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en-GB" sz="800"/>
                  <a:t>Average</a:t>
                </a:r>
                <a:r>
                  <a:rPr lang="en-GB" sz="800" baseline="0"/>
                  <a:t> number of interventions</a:t>
                </a:r>
                <a:endParaRPr lang="en-GB" sz="800"/>
              </a:p>
            </c:rich>
          </c:tx>
          <c:layout>
            <c:manualLayout>
              <c:xMode val="edge"/>
              <c:yMode val="edge"/>
              <c:x val="2.5217790004585051E-2"/>
              <c:y val="6.0612092560338393E-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96666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pivotSource>
    <c:name>[Inpatient LOS TABLES (version 1).xlsx]Sheet1!PivotTable5</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Number of patients admitted to inpatient wards and length of stay broken down by ethnicity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w="28575" cap="rnd">
            <a:solidFill>
              <a:schemeClr val="accent1"/>
            </a:solidFill>
            <a:round/>
          </a:ln>
          <a:effectLst/>
        </c:spPr>
        <c:marker>
          <c:symbol val="circle"/>
          <c:size val="5"/>
          <c:spPr>
            <a:solidFill>
              <a:schemeClr val="accent1">
                <a:shade val="76000"/>
              </a:schemeClr>
            </a:solidFill>
            <a:ln w="9525">
              <a:solidFill>
                <a:schemeClr val="accent1">
                  <a:shade val="76000"/>
                </a:schemeClr>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8575" cap="rnd">
            <a:solidFill>
              <a:schemeClr val="accent1"/>
            </a:solidFill>
            <a:round/>
          </a:ln>
          <a:effectLst/>
        </c:spPr>
        <c:marker>
          <c:symbol val="circle"/>
          <c:size val="5"/>
          <c:spPr>
            <a:solidFill>
              <a:schemeClr val="accent1">
                <a:tint val="77000"/>
              </a:schemeClr>
            </a:solidFill>
            <a:ln w="9525">
              <a:solidFill>
                <a:schemeClr val="accent1">
                  <a:tint val="77000"/>
                </a:schemeClr>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8575" cap="rnd">
            <a:solidFill>
              <a:schemeClr val="accent1"/>
            </a:solidFill>
            <a:round/>
          </a:ln>
          <a:effectLst/>
        </c:spPr>
        <c:marker>
          <c:symbol val="circle"/>
          <c:size val="5"/>
          <c:spPr>
            <a:solidFill>
              <a:schemeClr val="accent1">
                <a:shade val="76000"/>
              </a:schemeClr>
            </a:solidFill>
            <a:ln w="9525">
              <a:solidFill>
                <a:schemeClr val="accent1">
                  <a:shade val="76000"/>
                </a:schemeClr>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8575" cap="rnd">
            <a:solidFill>
              <a:schemeClr val="accent1"/>
            </a:solidFill>
            <a:round/>
          </a:ln>
          <a:effectLst/>
        </c:spPr>
        <c:marker>
          <c:symbol val="circle"/>
          <c:size val="5"/>
          <c:spPr>
            <a:solidFill>
              <a:schemeClr val="accent1">
                <a:tint val="77000"/>
              </a:schemeClr>
            </a:solidFill>
            <a:ln w="9525">
              <a:solidFill>
                <a:schemeClr val="accent1">
                  <a:tint val="77000"/>
                </a:schemeClr>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8575" cap="rnd">
            <a:solidFill>
              <a:schemeClr val="accent1"/>
            </a:solidFill>
            <a:round/>
          </a:ln>
          <a:effectLst/>
        </c:spPr>
        <c:marker>
          <c:symbol val="circle"/>
          <c:size val="5"/>
          <c:spPr>
            <a:solidFill>
              <a:schemeClr val="accent1">
                <a:shade val="76000"/>
              </a:schemeClr>
            </a:solidFill>
            <a:ln w="9525">
              <a:solidFill>
                <a:schemeClr val="accent1">
                  <a:shade val="76000"/>
                </a:schemeClr>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8575" cap="rnd">
            <a:solidFill>
              <a:schemeClr val="accent1"/>
            </a:solidFill>
            <a:round/>
          </a:ln>
          <a:effectLst/>
        </c:spPr>
        <c:marker>
          <c:symbol val="circle"/>
          <c:size val="5"/>
          <c:spPr>
            <a:solidFill>
              <a:schemeClr val="accent1">
                <a:tint val="77000"/>
              </a:schemeClr>
            </a:solidFill>
            <a:ln w="9525">
              <a:solidFill>
                <a:schemeClr val="accent1">
                  <a:tint val="77000"/>
                </a:schemeClr>
              </a:solidFill>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14680058997603115"/>
          <c:y val="0.18440194975628046"/>
          <c:w val="0.77762504824868972"/>
          <c:h val="0.34334222001777337"/>
        </c:manualLayout>
      </c:layout>
      <c:lineChart>
        <c:grouping val="standard"/>
        <c:varyColors val="0"/>
        <c:ser>
          <c:idx val="0"/>
          <c:order val="0"/>
          <c:tx>
            <c:strRef>
              <c:f>Sheet1!$B$50</c:f>
              <c:strCache>
                <c:ptCount val="1"/>
                <c:pt idx="0">
                  <c:v>Number of patients admitted to inpatient wards</c:v>
                </c:pt>
              </c:strCache>
            </c:strRef>
          </c:tx>
          <c:spPr>
            <a:ln w="28575" cap="rnd">
              <a:solidFill>
                <a:schemeClr val="accent1">
                  <a:shade val="76000"/>
                </a:schemeClr>
              </a:solidFill>
              <a:round/>
            </a:ln>
            <a:effectLst/>
          </c:spPr>
          <c:marker>
            <c:symbol val="circle"/>
            <c:size val="5"/>
            <c:spPr>
              <a:solidFill>
                <a:schemeClr val="accent1">
                  <a:shade val="76000"/>
                </a:schemeClr>
              </a:solidFill>
              <a:ln w="9525">
                <a:solidFill>
                  <a:schemeClr val="accent1">
                    <a:shade val="76000"/>
                  </a:schemeClr>
                </a:solidFill>
              </a:ln>
              <a:effectLst/>
            </c:spPr>
          </c:marker>
          <c:cat>
            <c:strRef>
              <c:f>Sheet1!$A$51:$A$73</c:f>
              <c:strCache>
                <c:ptCount val="22"/>
                <c:pt idx="0">
                  <c:v>ASIAN/ASIAN BRITISH BANGLADESH</c:v>
                </c:pt>
                <c:pt idx="1">
                  <c:v>ASIAN/ASIAN BRITISH CHINESE</c:v>
                </c:pt>
                <c:pt idx="2">
                  <c:v>ASIAN/ASIAN BRITISH INDIAN</c:v>
                </c:pt>
                <c:pt idx="3">
                  <c:v>ASIAN/ASIAN BRITISH OTHER</c:v>
                </c:pt>
                <c:pt idx="4">
                  <c:v>ASIAN/ASIAN BRITISH PAKISTANI</c:v>
                </c:pt>
                <c:pt idx="5">
                  <c:v>BLACK/BLACK BRITISH AFRICAN</c:v>
                </c:pt>
                <c:pt idx="6">
                  <c:v>BLACK/BLACK BRITISH CARIBBEAN</c:v>
                </c:pt>
                <c:pt idx="7">
                  <c:v>BLACK/BLACK BRITISH OTHER</c:v>
                </c:pt>
                <c:pt idx="8">
                  <c:v>DECLINE TO DISCLOSE</c:v>
                </c:pt>
                <c:pt idx="9">
                  <c:v>GYPSY/ROMANY</c:v>
                </c:pt>
                <c:pt idx="10">
                  <c:v>MIXED - OTHER</c:v>
                </c:pt>
                <c:pt idx="11">
                  <c:v>MIXED - WHITE AND ASIAN</c:v>
                </c:pt>
                <c:pt idx="12">
                  <c:v>MIXED - WHITE/BLACK AFRICAN</c:v>
                </c:pt>
                <c:pt idx="13">
                  <c:v>MIXED - WHITE/BLACK CARIBBEAN</c:v>
                </c:pt>
                <c:pt idx="14">
                  <c:v>NOT STATED</c:v>
                </c:pt>
                <c:pt idx="15">
                  <c:v>OTHER ETHNIC GROUP - ANY OTHER</c:v>
                </c:pt>
                <c:pt idx="16">
                  <c:v>OTHER ETHNIC GROUP - ARAB</c:v>
                </c:pt>
                <c:pt idx="17">
                  <c:v>TRAVELLER</c:v>
                </c:pt>
                <c:pt idx="18">
                  <c:v>WHITE - BRITISH</c:v>
                </c:pt>
                <c:pt idx="19">
                  <c:v>WHITE - GYPSY</c:v>
                </c:pt>
                <c:pt idx="20">
                  <c:v>WHITE - IRISH</c:v>
                </c:pt>
                <c:pt idx="21">
                  <c:v>WHITE - OTHER</c:v>
                </c:pt>
              </c:strCache>
            </c:strRef>
          </c:cat>
          <c:val>
            <c:numRef>
              <c:f>Sheet1!$B$51:$B$73</c:f>
              <c:numCache>
                <c:formatCode>General</c:formatCode>
                <c:ptCount val="22"/>
                <c:pt idx="0">
                  <c:v>5</c:v>
                </c:pt>
                <c:pt idx="1">
                  <c:v>6</c:v>
                </c:pt>
                <c:pt idx="2">
                  <c:v>9</c:v>
                </c:pt>
                <c:pt idx="3">
                  <c:v>52</c:v>
                </c:pt>
                <c:pt idx="4">
                  <c:v>63</c:v>
                </c:pt>
                <c:pt idx="5">
                  <c:v>16</c:v>
                </c:pt>
                <c:pt idx="6">
                  <c:v>2</c:v>
                </c:pt>
                <c:pt idx="7">
                  <c:v>5</c:v>
                </c:pt>
                <c:pt idx="8">
                  <c:v>2</c:v>
                </c:pt>
                <c:pt idx="9">
                  <c:v>3</c:v>
                </c:pt>
                <c:pt idx="10">
                  <c:v>7</c:v>
                </c:pt>
                <c:pt idx="11">
                  <c:v>4</c:v>
                </c:pt>
                <c:pt idx="12">
                  <c:v>6</c:v>
                </c:pt>
                <c:pt idx="13">
                  <c:v>15</c:v>
                </c:pt>
                <c:pt idx="14">
                  <c:v>236</c:v>
                </c:pt>
                <c:pt idx="15">
                  <c:v>22</c:v>
                </c:pt>
                <c:pt idx="16">
                  <c:v>4</c:v>
                </c:pt>
                <c:pt idx="17">
                  <c:v>1</c:v>
                </c:pt>
                <c:pt idx="18">
                  <c:v>4300</c:v>
                </c:pt>
                <c:pt idx="19">
                  <c:v>1</c:v>
                </c:pt>
                <c:pt idx="20">
                  <c:v>20</c:v>
                </c:pt>
                <c:pt idx="21">
                  <c:v>56</c:v>
                </c:pt>
              </c:numCache>
            </c:numRef>
          </c:val>
          <c:smooth val="0"/>
          <c:extLst>
            <c:ext xmlns:c16="http://schemas.microsoft.com/office/drawing/2014/chart" uri="{C3380CC4-5D6E-409C-BE32-E72D297353CC}">
              <c16:uniqueId val="{00000000-8E5C-485B-981F-283413CE201D}"/>
            </c:ext>
          </c:extLst>
        </c:ser>
        <c:dLbls>
          <c:showLegendKey val="0"/>
          <c:showVal val="0"/>
          <c:showCatName val="0"/>
          <c:showSerName val="0"/>
          <c:showPercent val="0"/>
          <c:showBubbleSize val="0"/>
        </c:dLbls>
        <c:marker val="1"/>
        <c:smooth val="0"/>
        <c:axId val="666332560"/>
        <c:axId val="666333808"/>
      </c:lineChart>
      <c:lineChart>
        <c:grouping val="standard"/>
        <c:varyColors val="0"/>
        <c:ser>
          <c:idx val="1"/>
          <c:order val="1"/>
          <c:tx>
            <c:strRef>
              <c:f>Sheet1!$C$50</c:f>
              <c:strCache>
                <c:ptCount val="1"/>
                <c:pt idx="0">
                  <c:v>Average of Length of stay</c:v>
                </c:pt>
              </c:strCache>
            </c:strRef>
          </c:tx>
          <c:spPr>
            <a:ln w="28575" cap="rnd">
              <a:solidFill>
                <a:schemeClr val="accent1">
                  <a:tint val="77000"/>
                </a:schemeClr>
              </a:solidFill>
              <a:round/>
            </a:ln>
            <a:effectLst/>
          </c:spPr>
          <c:marker>
            <c:symbol val="circle"/>
            <c:size val="5"/>
            <c:spPr>
              <a:solidFill>
                <a:schemeClr val="accent1">
                  <a:tint val="77000"/>
                </a:schemeClr>
              </a:solidFill>
              <a:ln w="9525">
                <a:solidFill>
                  <a:schemeClr val="accent1">
                    <a:tint val="77000"/>
                  </a:schemeClr>
                </a:solidFill>
              </a:ln>
              <a:effectLst/>
            </c:spPr>
          </c:marker>
          <c:cat>
            <c:strRef>
              <c:f>Sheet1!$A$51:$A$73</c:f>
              <c:strCache>
                <c:ptCount val="22"/>
                <c:pt idx="0">
                  <c:v>ASIAN/ASIAN BRITISH BANGLADESH</c:v>
                </c:pt>
                <c:pt idx="1">
                  <c:v>ASIAN/ASIAN BRITISH CHINESE</c:v>
                </c:pt>
                <c:pt idx="2">
                  <c:v>ASIAN/ASIAN BRITISH INDIAN</c:v>
                </c:pt>
                <c:pt idx="3">
                  <c:v>ASIAN/ASIAN BRITISH OTHER</c:v>
                </c:pt>
                <c:pt idx="4">
                  <c:v>ASIAN/ASIAN BRITISH PAKISTANI</c:v>
                </c:pt>
                <c:pt idx="5">
                  <c:v>BLACK/BLACK BRITISH AFRICAN</c:v>
                </c:pt>
                <c:pt idx="6">
                  <c:v>BLACK/BLACK BRITISH CARIBBEAN</c:v>
                </c:pt>
                <c:pt idx="7">
                  <c:v>BLACK/BLACK BRITISH OTHER</c:v>
                </c:pt>
                <c:pt idx="8">
                  <c:v>DECLINE TO DISCLOSE</c:v>
                </c:pt>
                <c:pt idx="9">
                  <c:v>GYPSY/ROMANY</c:v>
                </c:pt>
                <c:pt idx="10">
                  <c:v>MIXED - OTHER</c:v>
                </c:pt>
                <c:pt idx="11">
                  <c:v>MIXED - WHITE AND ASIAN</c:v>
                </c:pt>
                <c:pt idx="12">
                  <c:v>MIXED - WHITE/BLACK AFRICAN</c:v>
                </c:pt>
                <c:pt idx="13">
                  <c:v>MIXED - WHITE/BLACK CARIBBEAN</c:v>
                </c:pt>
                <c:pt idx="14">
                  <c:v>NOT STATED</c:v>
                </c:pt>
                <c:pt idx="15">
                  <c:v>OTHER ETHNIC GROUP - ANY OTHER</c:v>
                </c:pt>
                <c:pt idx="16">
                  <c:v>OTHER ETHNIC GROUP - ARAB</c:v>
                </c:pt>
                <c:pt idx="17">
                  <c:v>TRAVELLER</c:v>
                </c:pt>
                <c:pt idx="18">
                  <c:v>WHITE - BRITISH</c:v>
                </c:pt>
                <c:pt idx="19">
                  <c:v>WHITE - GYPSY</c:v>
                </c:pt>
                <c:pt idx="20">
                  <c:v>WHITE - IRISH</c:v>
                </c:pt>
                <c:pt idx="21">
                  <c:v>WHITE - OTHER</c:v>
                </c:pt>
              </c:strCache>
            </c:strRef>
          </c:cat>
          <c:val>
            <c:numRef>
              <c:f>Sheet1!$C$51:$C$73</c:f>
              <c:numCache>
                <c:formatCode>0.00</c:formatCode>
                <c:ptCount val="22"/>
                <c:pt idx="0">
                  <c:v>26.8</c:v>
                </c:pt>
                <c:pt idx="1">
                  <c:v>23.166666666666668</c:v>
                </c:pt>
                <c:pt idx="2">
                  <c:v>31.666666666666668</c:v>
                </c:pt>
                <c:pt idx="3">
                  <c:v>30.73076923076923</c:v>
                </c:pt>
                <c:pt idx="4">
                  <c:v>14.841269841269842</c:v>
                </c:pt>
                <c:pt idx="5">
                  <c:v>166.5</c:v>
                </c:pt>
                <c:pt idx="6">
                  <c:v>36.5</c:v>
                </c:pt>
                <c:pt idx="7">
                  <c:v>40.6</c:v>
                </c:pt>
                <c:pt idx="8">
                  <c:v>246.5</c:v>
                </c:pt>
                <c:pt idx="9">
                  <c:v>31.333333333333332</c:v>
                </c:pt>
                <c:pt idx="10">
                  <c:v>80</c:v>
                </c:pt>
                <c:pt idx="11">
                  <c:v>21</c:v>
                </c:pt>
                <c:pt idx="12">
                  <c:v>179.33333333333334</c:v>
                </c:pt>
                <c:pt idx="13">
                  <c:v>24.333333333333332</c:v>
                </c:pt>
                <c:pt idx="14">
                  <c:v>38.288135593220339</c:v>
                </c:pt>
                <c:pt idx="15">
                  <c:v>43.136363636363633</c:v>
                </c:pt>
                <c:pt idx="16">
                  <c:v>61.75</c:v>
                </c:pt>
                <c:pt idx="17">
                  <c:v>22</c:v>
                </c:pt>
                <c:pt idx="18">
                  <c:v>44.215813953488372</c:v>
                </c:pt>
                <c:pt idx="19">
                  <c:v>17</c:v>
                </c:pt>
                <c:pt idx="20">
                  <c:v>20.75</c:v>
                </c:pt>
                <c:pt idx="21">
                  <c:v>44.357142857142854</c:v>
                </c:pt>
              </c:numCache>
            </c:numRef>
          </c:val>
          <c:smooth val="0"/>
          <c:extLst>
            <c:ext xmlns:c16="http://schemas.microsoft.com/office/drawing/2014/chart" uri="{C3380CC4-5D6E-409C-BE32-E72D297353CC}">
              <c16:uniqueId val="{00000001-8E5C-485B-981F-283413CE201D}"/>
            </c:ext>
          </c:extLst>
        </c:ser>
        <c:dLbls>
          <c:showLegendKey val="0"/>
          <c:showVal val="0"/>
          <c:showCatName val="0"/>
          <c:showSerName val="0"/>
          <c:showPercent val="0"/>
          <c:showBubbleSize val="0"/>
        </c:dLbls>
        <c:marker val="1"/>
        <c:smooth val="0"/>
        <c:axId val="671312080"/>
        <c:axId val="671312912"/>
      </c:lineChart>
      <c:catAx>
        <c:axId val="6663325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Ethnicity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666333808"/>
        <c:crosses val="autoZero"/>
        <c:auto val="1"/>
        <c:lblAlgn val="ctr"/>
        <c:lblOffset val="100"/>
        <c:noMultiLvlLbl val="0"/>
      </c:catAx>
      <c:valAx>
        <c:axId val="666333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66332560"/>
        <c:crosses val="autoZero"/>
        <c:crossBetween val="between"/>
      </c:valAx>
      <c:valAx>
        <c:axId val="671312912"/>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1312080"/>
        <c:crosses val="max"/>
        <c:crossBetween val="between"/>
      </c:valAx>
      <c:catAx>
        <c:axId val="671312080"/>
        <c:scaling>
          <c:orientation val="minMax"/>
        </c:scaling>
        <c:delete val="1"/>
        <c:axPos val="b"/>
        <c:numFmt formatCode="General" sourceLinked="1"/>
        <c:majorTickMark val="out"/>
        <c:minorTickMark val="none"/>
        <c:tickLblPos val="nextTo"/>
        <c:crossAx val="671312912"/>
        <c:crosses val="autoZero"/>
        <c:auto val="1"/>
        <c:lblAlgn val="ctr"/>
        <c:lblOffset val="100"/>
        <c:noMultiLvlLbl val="0"/>
      </c:catAx>
      <c:spPr>
        <a:noFill/>
        <a:ln>
          <a:noFill/>
        </a:ln>
        <a:effectLst/>
      </c:spPr>
    </c:plotArea>
    <c:legend>
      <c:legendPos val="r"/>
      <c:layout>
        <c:manualLayout>
          <c:xMode val="edge"/>
          <c:yMode val="edge"/>
          <c:x val="1.1209715006812336E-2"/>
          <c:y val="0.9043485706019031"/>
          <c:w val="0.96065480182037088"/>
          <c:h val="6.9368100640963201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GB" sz="1200" b="0" i="0" baseline="0">
                <a:effectLst/>
              </a:rPr>
              <a:t>Number of patients admitted to inpatient wards and length of stay broken down by marital status </a:t>
            </a: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en-GB"/>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bar"/>
        <c:grouping val="clustered"/>
        <c:varyColors val="0"/>
        <c:ser>
          <c:idx val="0"/>
          <c:order val="0"/>
          <c:tx>
            <c:strRef>
              <c:f>Sheet1!$B$31</c:f>
              <c:strCache>
                <c:ptCount val="1"/>
                <c:pt idx="0">
                  <c:v>Number of patients admitted to inpatient wards</c:v>
                </c:pt>
              </c:strCache>
            </c:strRef>
          </c:tx>
          <c:spPr>
            <a:solidFill>
              <a:schemeClr val="accent1"/>
            </a:solidFill>
            <a:ln>
              <a:noFill/>
            </a:ln>
            <a:effectLst/>
          </c:spPr>
          <c:invertIfNegative val="0"/>
          <c:cat>
            <c:strRef>
              <c:f>Sheet1!$A$32:$A$40</c:f>
              <c:strCache>
                <c:ptCount val="9"/>
                <c:pt idx="0">
                  <c:v>DIVORCED/CIVIL P'SHIP DISSOLV</c:v>
                </c:pt>
                <c:pt idx="1">
                  <c:v>IN A RELATIONSHIP</c:v>
                </c:pt>
                <c:pt idx="2">
                  <c:v>LIVING WITH A PARTNER</c:v>
                </c:pt>
                <c:pt idx="3">
                  <c:v>MARRIED/CIVIL PARTNER</c:v>
                </c:pt>
                <c:pt idx="4">
                  <c:v>NOT DISCLOSED</c:v>
                </c:pt>
                <c:pt idx="5">
                  <c:v>NOT KNOWN</c:v>
                </c:pt>
                <c:pt idx="6">
                  <c:v>SEPARATED</c:v>
                </c:pt>
                <c:pt idx="7">
                  <c:v>SINGLE</c:v>
                </c:pt>
                <c:pt idx="8">
                  <c:v>SURVIVING PARTNER/WIDOWED</c:v>
                </c:pt>
              </c:strCache>
            </c:strRef>
          </c:cat>
          <c:val>
            <c:numRef>
              <c:f>Sheet1!$B$32:$B$40</c:f>
              <c:numCache>
                <c:formatCode>General</c:formatCode>
                <c:ptCount val="9"/>
                <c:pt idx="0">
                  <c:v>142</c:v>
                </c:pt>
                <c:pt idx="1">
                  <c:v>89</c:v>
                </c:pt>
                <c:pt idx="2">
                  <c:v>98</c:v>
                </c:pt>
                <c:pt idx="3">
                  <c:v>572</c:v>
                </c:pt>
                <c:pt idx="4">
                  <c:v>279</c:v>
                </c:pt>
                <c:pt idx="5">
                  <c:v>1279</c:v>
                </c:pt>
                <c:pt idx="6">
                  <c:v>82</c:v>
                </c:pt>
                <c:pt idx="7">
                  <c:v>2157</c:v>
                </c:pt>
                <c:pt idx="8">
                  <c:v>137</c:v>
                </c:pt>
              </c:numCache>
            </c:numRef>
          </c:val>
          <c:extLst>
            <c:ext xmlns:c16="http://schemas.microsoft.com/office/drawing/2014/chart" uri="{C3380CC4-5D6E-409C-BE32-E72D297353CC}">
              <c16:uniqueId val="{00000000-4E8D-4059-8251-1806BCD7153E}"/>
            </c:ext>
          </c:extLst>
        </c:ser>
        <c:ser>
          <c:idx val="1"/>
          <c:order val="1"/>
          <c:tx>
            <c:strRef>
              <c:f>Sheet1!$C$31</c:f>
              <c:strCache>
                <c:ptCount val="1"/>
                <c:pt idx="0">
                  <c:v>Average of Length of stay</c:v>
                </c:pt>
              </c:strCache>
            </c:strRef>
          </c:tx>
          <c:spPr>
            <a:solidFill>
              <a:schemeClr val="accent2"/>
            </a:solidFill>
            <a:ln>
              <a:noFill/>
            </a:ln>
            <a:effectLst/>
          </c:spPr>
          <c:invertIfNegative val="0"/>
          <c:cat>
            <c:strRef>
              <c:f>Sheet1!$A$32:$A$40</c:f>
              <c:strCache>
                <c:ptCount val="9"/>
                <c:pt idx="0">
                  <c:v>DIVORCED/CIVIL P'SHIP DISSOLV</c:v>
                </c:pt>
                <c:pt idx="1">
                  <c:v>IN A RELATIONSHIP</c:v>
                </c:pt>
                <c:pt idx="2">
                  <c:v>LIVING WITH A PARTNER</c:v>
                </c:pt>
                <c:pt idx="3">
                  <c:v>MARRIED/CIVIL PARTNER</c:v>
                </c:pt>
                <c:pt idx="4">
                  <c:v>NOT DISCLOSED</c:v>
                </c:pt>
                <c:pt idx="5">
                  <c:v>NOT KNOWN</c:v>
                </c:pt>
                <c:pt idx="6">
                  <c:v>SEPARATED</c:v>
                </c:pt>
                <c:pt idx="7">
                  <c:v>SINGLE</c:v>
                </c:pt>
                <c:pt idx="8">
                  <c:v>SURVIVING PARTNER/WIDOWED</c:v>
                </c:pt>
              </c:strCache>
            </c:strRef>
          </c:cat>
          <c:val>
            <c:numRef>
              <c:f>Sheet1!$C$32:$C$40</c:f>
              <c:numCache>
                <c:formatCode>0.00</c:formatCode>
                <c:ptCount val="9"/>
                <c:pt idx="0">
                  <c:v>61.183098591549296</c:v>
                </c:pt>
                <c:pt idx="1">
                  <c:v>20.561797752808989</c:v>
                </c:pt>
                <c:pt idx="2">
                  <c:v>31.887755102040817</c:v>
                </c:pt>
                <c:pt idx="3">
                  <c:v>66.2972027972028</c:v>
                </c:pt>
                <c:pt idx="4">
                  <c:v>61.781362007168461</c:v>
                </c:pt>
                <c:pt idx="5">
                  <c:v>42.82720875684128</c:v>
                </c:pt>
                <c:pt idx="6">
                  <c:v>47.902439024390247</c:v>
                </c:pt>
                <c:pt idx="7">
                  <c:v>34.305053314789056</c:v>
                </c:pt>
                <c:pt idx="8">
                  <c:v>76.635036496350367</c:v>
                </c:pt>
              </c:numCache>
            </c:numRef>
          </c:val>
          <c:extLst>
            <c:ext xmlns:c16="http://schemas.microsoft.com/office/drawing/2014/chart" uri="{C3380CC4-5D6E-409C-BE32-E72D297353CC}">
              <c16:uniqueId val="{00000001-4E8D-4059-8251-1806BCD7153E}"/>
            </c:ext>
          </c:extLst>
        </c:ser>
        <c:dLbls>
          <c:showLegendKey val="0"/>
          <c:showVal val="0"/>
          <c:showCatName val="0"/>
          <c:showSerName val="0"/>
          <c:showPercent val="0"/>
          <c:showBubbleSize val="0"/>
        </c:dLbls>
        <c:gapWidth val="182"/>
        <c:axId val="625379584"/>
        <c:axId val="625379168"/>
      </c:barChart>
      <c:catAx>
        <c:axId val="6253795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5379168"/>
        <c:crosses val="autoZero"/>
        <c:auto val="1"/>
        <c:lblAlgn val="ctr"/>
        <c:lblOffset val="100"/>
        <c:noMultiLvlLbl val="0"/>
      </c:catAx>
      <c:valAx>
        <c:axId val="6253791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5379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Number</a:t>
            </a:r>
            <a:r>
              <a:rPr lang="en-GB" baseline="0"/>
              <a:t> of patients and average length of stay broken down by age</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Sheet1!$A$15</c:f>
              <c:strCache>
                <c:ptCount val="1"/>
                <c:pt idx="0">
                  <c:v>18 &gt;</c:v>
                </c:pt>
              </c:strCache>
            </c:strRef>
          </c:tx>
          <c:spPr>
            <a:solidFill>
              <a:schemeClr val="accent1">
                <a:shade val="53000"/>
              </a:schemeClr>
            </a:solidFill>
            <a:ln>
              <a:noFill/>
            </a:ln>
            <a:effectLst/>
          </c:spPr>
          <c:invertIfNegative val="0"/>
          <c:cat>
            <c:strRef>
              <c:f>Sheet1!$B$14:$C$14</c:f>
              <c:strCache>
                <c:ptCount val="2"/>
                <c:pt idx="0">
                  <c:v>Count of Patient ID</c:v>
                </c:pt>
                <c:pt idx="1">
                  <c:v>Average of Length of stay</c:v>
                </c:pt>
              </c:strCache>
            </c:strRef>
          </c:cat>
          <c:val>
            <c:numRef>
              <c:f>Sheet1!$B$15:$C$15</c:f>
              <c:numCache>
                <c:formatCode>0.00</c:formatCode>
                <c:ptCount val="2"/>
                <c:pt idx="0" formatCode="General">
                  <c:v>990</c:v>
                </c:pt>
                <c:pt idx="1">
                  <c:v>1.1343434343434344</c:v>
                </c:pt>
              </c:numCache>
            </c:numRef>
          </c:val>
          <c:extLst>
            <c:ext xmlns:c16="http://schemas.microsoft.com/office/drawing/2014/chart" uri="{C3380CC4-5D6E-409C-BE32-E72D297353CC}">
              <c16:uniqueId val="{00000000-E69C-4F6C-B20F-0E4E6D871BE7}"/>
            </c:ext>
          </c:extLst>
        </c:ser>
        <c:ser>
          <c:idx val="1"/>
          <c:order val="1"/>
          <c:tx>
            <c:strRef>
              <c:f>Sheet1!$A$16</c:f>
              <c:strCache>
                <c:ptCount val="1"/>
                <c:pt idx="0">
                  <c:v>18 - 29</c:v>
                </c:pt>
              </c:strCache>
            </c:strRef>
          </c:tx>
          <c:spPr>
            <a:solidFill>
              <a:schemeClr val="accent1">
                <a:shade val="76000"/>
              </a:schemeClr>
            </a:solidFill>
            <a:ln>
              <a:noFill/>
            </a:ln>
            <a:effectLst/>
          </c:spPr>
          <c:invertIfNegative val="0"/>
          <c:cat>
            <c:strRef>
              <c:f>Sheet1!$B$14:$C$14</c:f>
              <c:strCache>
                <c:ptCount val="2"/>
                <c:pt idx="0">
                  <c:v>Count of Patient ID</c:v>
                </c:pt>
                <c:pt idx="1">
                  <c:v>Average of Length of stay</c:v>
                </c:pt>
              </c:strCache>
            </c:strRef>
          </c:cat>
          <c:val>
            <c:numRef>
              <c:f>Sheet1!$B$16:$C$16</c:f>
              <c:numCache>
                <c:formatCode>0.00</c:formatCode>
                <c:ptCount val="2"/>
                <c:pt idx="0" formatCode="General">
                  <c:v>909</c:v>
                </c:pt>
                <c:pt idx="1">
                  <c:v>36.138613861386141</c:v>
                </c:pt>
              </c:numCache>
            </c:numRef>
          </c:val>
          <c:extLst>
            <c:ext xmlns:c16="http://schemas.microsoft.com/office/drawing/2014/chart" uri="{C3380CC4-5D6E-409C-BE32-E72D297353CC}">
              <c16:uniqueId val="{00000001-E69C-4F6C-B20F-0E4E6D871BE7}"/>
            </c:ext>
          </c:extLst>
        </c:ser>
        <c:ser>
          <c:idx val="2"/>
          <c:order val="2"/>
          <c:tx>
            <c:strRef>
              <c:f>Sheet1!$A$17</c:f>
              <c:strCache>
                <c:ptCount val="1"/>
                <c:pt idx="0">
                  <c:v>30 - 44</c:v>
                </c:pt>
              </c:strCache>
            </c:strRef>
          </c:tx>
          <c:spPr>
            <a:solidFill>
              <a:schemeClr val="accent1"/>
            </a:solidFill>
            <a:ln>
              <a:noFill/>
            </a:ln>
            <a:effectLst/>
          </c:spPr>
          <c:invertIfNegative val="0"/>
          <c:cat>
            <c:strRef>
              <c:f>Sheet1!$B$14:$C$14</c:f>
              <c:strCache>
                <c:ptCount val="2"/>
                <c:pt idx="0">
                  <c:v>Count of Patient ID</c:v>
                </c:pt>
                <c:pt idx="1">
                  <c:v>Average of Length of stay</c:v>
                </c:pt>
              </c:strCache>
            </c:strRef>
          </c:cat>
          <c:val>
            <c:numRef>
              <c:f>Sheet1!$B$17:$C$17</c:f>
              <c:numCache>
                <c:formatCode>0.00</c:formatCode>
                <c:ptCount val="2"/>
                <c:pt idx="0" formatCode="General">
                  <c:v>1183</c:v>
                </c:pt>
                <c:pt idx="1">
                  <c:v>54.012679628064241</c:v>
                </c:pt>
              </c:numCache>
            </c:numRef>
          </c:val>
          <c:extLst>
            <c:ext xmlns:c16="http://schemas.microsoft.com/office/drawing/2014/chart" uri="{C3380CC4-5D6E-409C-BE32-E72D297353CC}">
              <c16:uniqueId val="{00000002-E69C-4F6C-B20F-0E4E6D871BE7}"/>
            </c:ext>
          </c:extLst>
        </c:ser>
        <c:ser>
          <c:idx val="3"/>
          <c:order val="3"/>
          <c:tx>
            <c:strRef>
              <c:f>Sheet1!$A$18</c:f>
              <c:strCache>
                <c:ptCount val="1"/>
                <c:pt idx="0">
                  <c:v>45 - 64</c:v>
                </c:pt>
              </c:strCache>
            </c:strRef>
          </c:tx>
          <c:spPr>
            <a:solidFill>
              <a:schemeClr val="accent1">
                <a:tint val="77000"/>
              </a:schemeClr>
            </a:solidFill>
            <a:ln>
              <a:noFill/>
            </a:ln>
            <a:effectLst/>
          </c:spPr>
          <c:invertIfNegative val="0"/>
          <c:cat>
            <c:strRef>
              <c:f>Sheet1!$B$14:$C$14</c:f>
              <c:strCache>
                <c:ptCount val="2"/>
                <c:pt idx="0">
                  <c:v>Count of Patient ID</c:v>
                </c:pt>
                <c:pt idx="1">
                  <c:v>Average of Length of stay</c:v>
                </c:pt>
              </c:strCache>
            </c:strRef>
          </c:cat>
          <c:val>
            <c:numRef>
              <c:f>Sheet1!$B$18:$C$18</c:f>
              <c:numCache>
                <c:formatCode>0.00</c:formatCode>
                <c:ptCount val="2"/>
                <c:pt idx="0" formatCode="General">
                  <c:v>965</c:v>
                </c:pt>
                <c:pt idx="1">
                  <c:v>54.589637305699483</c:v>
                </c:pt>
              </c:numCache>
            </c:numRef>
          </c:val>
          <c:extLst>
            <c:ext xmlns:c16="http://schemas.microsoft.com/office/drawing/2014/chart" uri="{C3380CC4-5D6E-409C-BE32-E72D297353CC}">
              <c16:uniqueId val="{00000003-E69C-4F6C-B20F-0E4E6D871BE7}"/>
            </c:ext>
          </c:extLst>
        </c:ser>
        <c:ser>
          <c:idx val="4"/>
          <c:order val="4"/>
          <c:tx>
            <c:strRef>
              <c:f>Sheet1!$A$19</c:f>
              <c:strCache>
                <c:ptCount val="1"/>
                <c:pt idx="0">
                  <c:v>65 +</c:v>
                </c:pt>
              </c:strCache>
            </c:strRef>
          </c:tx>
          <c:spPr>
            <a:solidFill>
              <a:schemeClr val="accent1">
                <a:tint val="54000"/>
              </a:schemeClr>
            </a:solidFill>
            <a:ln>
              <a:noFill/>
            </a:ln>
            <a:effectLst/>
          </c:spPr>
          <c:invertIfNegative val="0"/>
          <c:cat>
            <c:strRef>
              <c:f>Sheet1!$B$14:$C$14</c:f>
              <c:strCache>
                <c:ptCount val="2"/>
                <c:pt idx="0">
                  <c:v>Count of Patient ID</c:v>
                </c:pt>
                <c:pt idx="1">
                  <c:v>Average of Length of stay</c:v>
                </c:pt>
              </c:strCache>
            </c:strRef>
          </c:cat>
          <c:val>
            <c:numRef>
              <c:f>Sheet1!$B$19:$C$19</c:f>
              <c:numCache>
                <c:formatCode>0.00</c:formatCode>
                <c:ptCount val="2"/>
                <c:pt idx="0" formatCode="General">
                  <c:v>788</c:v>
                </c:pt>
                <c:pt idx="1">
                  <c:v>77.984771573604064</c:v>
                </c:pt>
              </c:numCache>
            </c:numRef>
          </c:val>
          <c:extLst>
            <c:ext xmlns:c16="http://schemas.microsoft.com/office/drawing/2014/chart" uri="{C3380CC4-5D6E-409C-BE32-E72D297353CC}">
              <c16:uniqueId val="{00000004-E69C-4F6C-B20F-0E4E6D871BE7}"/>
            </c:ext>
          </c:extLst>
        </c:ser>
        <c:dLbls>
          <c:showLegendKey val="0"/>
          <c:showVal val="0"/>
          <c:showCatName val="0"/>
          <c:showSerName val="0"/>
          <c:showPercent val="0"/>
          <c:showBubbleSize val="0"/>
        </c:dLbls>
        <c:gapWidth val="219"/>
        <c:overlap val="-27"/>
        <c:axId val="932168639"/>
        <c:axId val="932169471"/>
      </c:barChart>
      <c:catAx>
        <c:axId val="93216863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2169471"/>
        <c:crosses val="autoZero"/>
        <c:auto val="1"/>
        <c:lblAlgn val="ctr"/>
        <c:lblOffset val="100"/>
        <c:noMultiLvlLbl val="0"/>
      </c:catAx>
      <c:valAx>
        <c:axId val="9321694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21686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93</TotalTime>
  <Pages>1</Pages>
  <Words>6762</Words>
  <Characters>38544</Characters>
  <Application>Microsoft Office Word</Application>
  <DocSecurity>0</DocSecurity>
  <Lines>321</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MADDISON, Paula (TEES, ESK AND WEAR VALLEYS NHS FOUNDATION TRUST)</dc:creator>
  <cp:lastModifiedBy>DALLAL, Sarah (TEES, ESK AND WEAR VALLEYS NHS FOUNDATION TRUST)</cp:lastModifiedBy>
  <cp:revision>3</cp:revision>
  <dcterms:created xsi:type="dcterms:W3CDTF">2023-09-06T07:00:00Z</dcterms:created>
  <dcterms:modified xsi:type="dcterms:W3CDTF">2023-09-06T09:16:00Z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2022-10-28T00:00:00Z</vt:filetime>
  </property>
  <property fmtid="{D5CDD505-2E9C-101B-9397-08002B2CF9AE}" pid="3" name="Creator">
    <vt:lpwstr>Microsoft® Word for Microsoft 365</vt:lpwstr>
  </property>
  <property fmtid="{D5CDD505-2E9C-101B-9397-08002B2CF9AE}" pid="4" name="LastSaved">
    <vt:filetime>2023-01-26T00:00:00Z</vt:filetime>
  </property>
</Properties>
</file>